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4394"/>
      </w:tblGrid>
      <w:tr w:rsidR="0055672E" w14:paraId="5FD465B7" w14:textId="77777777" w:rsidTr="00747FD4">
        <w:tc>
          <w:tcPr>
            <w:tcW w:w="2547" w:type="dxa"/>
          </w:tcPr>
          <w:p w14:paraId="5FD465B5" w14:textId="77777777" w:rsidR="0055672E" w:rsidRDefault="0055672E" w:rsidP="0055672E">
            <w:pPr>
              <w:jc w:val="left"/>
              <w:rPr>
                <w:b/>
              </w:rPr>
            </w:pPr>
            <w:bookmarkStart w:id="0" w:name="_GoBack"/>
            <w:bookmarkEnd w:id="0"/>
            <w:r>
              <w:rPr>
                <w:b/>
              </w:rPr>
              <w:t>Type of document</w:t>
            </w:r>
          </w:p>
        </w:tc>
        <w:tc>
          <w:tcPr>
            <w:tcW w:w="4394" w:type="dxa"/>
          </w:tcPr>
          <w:p w14:paraId="5FD465B6" w14:textId="1427D1ED" w:rsidR="0055672E" w:rsidRPr="007E26D2" w:rsidRDefault="0055672E" w:rsidP="0055672E">
            <w:r w:rsidRPr="00CA7BB7">
              <w:t>Policy</w:t>
            </w:r>
          </w:p>
        </w:tc>
      </w:tr>
      <w:tr w:rsidR="0055672E" w14:paraId="5FD465BA" w14:textId="77777777" w:rsidTr="00747FD4">
        <w:tc>
          <w:tcPr>
            <w:tcW w:w="2547" w:type="dxa"/>
          </w:tcPr>
          <w:p w14:paraId="5FD465B8" w14:textId="77777777" w:rsidR="0055672E" w:rsidRDefault="0055672E" w:rsidP="0055672E">
            <w:pPr>
              <w:rPr>
                <w:b/>
              </w:rPr>
            </w:pPr>
            <w:r>
              <w:rPr>
                <w:b/>
              </w:rPr>
              <w:t>Title</w:t>
            </w:r>
          </w:p>
        </w:tc>
        <w:tc>
          <w:tcPr>
            <w:tcW w:w="4394" w:type="dxa"/>
          </w:tcPr>
          <w:p w14:paraId="5FD465B9" w14:textId="2A4A4BA2" w:rsidR="0055672E" w:rsidRPr="007E26D2" w:rsidRDefault="0055672E" w:rsidP="0055672E">
            <w:r>
              <w:t>Finance</w:t>
            </w:r>
            <w:r w:rsidRPr="00CA7BB7">
              <w:t xml:space="preserve"> Data Quality Policy</w:t>
            </w:r>
          </w:p>
        </w:tc>
      </w:tr>
      <w:tr w:rsidR="0055672E" w14:paraId="5FD465BD" w14:textId="77777777" w:rsidTr="00747FD4">
        <w:tc>
          <w:tcPr>
            <w:tcW w:w="2547" w:type="dxa"/>
          </w:tcPr>
          <w:p w14:paraId="5FD465BB" w14:textId="77777777" w:rsidR="0055672E" w:rsidRDefault="0055672E" w:rsidP="0055672E">
            <w:pPr>
              <w:rPr>
                <w:b/>
              </w:rPr>
            </w:pPr>
            <w:r>
              <w:rPr>
                <w:b/>
              </w:rPr>
              <w:t>Author</w:t>
            </w:r>
          </w:p>
        </w:tc>
        <w:tc>
          <w:tcPr>
            <w:tcW w:w="4394" w:type="dxa"/>
          </w:tcPr>
          <w:p w14:paraId="5FD465BC" w14:textId="770EFF4A" w:rsidR="0055672E" w:rsidRPr="007E26D2" w:rsidRDefault="0055672E" w:rsidP="0055672E">
            <w:r>
              <w:t>Ben Heath</w:t>
            </w:r>
            <w:r w:rsidRPr="00CA7BB7">
              <w:t xml:space="preserve">, </w:t>
            </w:r>
            <w:r w:rsidR="00CC2615" w:rsidRPr="00CC2615">
              <w:t>Director of Technical Accounting &amp; Reporting</w:t>
            </w:r>
          </w:p>
        </w:tc>
      </w:tr>
      <w:tr w:rsidR="0055672E" w14:paraId="5FD465C0" w14:textId="77777777" w:rsidTr="00747FD4">
        <w:tc>
          <w:tcPr>
            <w:tcW w:w="2547" w:type="dxa"/>
          </w:tcPr>
          <w:p w14:paraId="5FD465BE" w14:textId="77777777" w:rsidR="0055672E" w:rsidRDefault="0055672E" w:rsidP="0055672E">
            <w:pPr>
              <w:rPr>
                <w:b/>
              </w:rPr>
            </w:pPr>
            <w:r>
              <w:rPr>
                <w:b/>
              </w:rPr>
              <w:t>Document status</w:t>
            </w:r>
          </w:p>
        </w:tc>
        <w:tc>
          <w:tcPr>
            <w:tcW w:w="4394" w:type="dxa"/>
          </w:tcPr>
          <w:p w14:paraId="5FD465BF" w14:textId="7877A8A7" w:rsidR="0055672E" w:rsidRPr="00B02373" w:rsidRDefault="00A93CBA" w:rsidP="00A93CBA">
            <w:pPr>
              <w:rPr>
                <w:i/>
              </w:rPr>
            </w:pPr>
            <w:r>
              <w:t>Draft</w:t>
            </w:r>
            <w:r w:rsidR="00386D9D">
              <w:t xml:space="preserve"> – </w:t>
            </w:r>
            <w:r>
              <w:t xml:space="preserve">for </w:t>
            </w:r>
            <w:r w:rsidR="00386D9D">
              <w:t>approv</w:t>
            </w:r>
            <w:r>
              <w:t>al by Finance Leadership T</w:t>
            </w:r>
            <w:r w:rsidR="00386D9D">
              <w:t>eam</w:t>
            </w:r>
          </w:p>
        </w:tc>
      </w:tr>
      <w:tr w:rsidR="0055672E" w14:paraId="5FD465C3" w14:textId="77777777" w:rsidTr="00747FD4">
        <w:tc>
          <w:tcPr>
            <w:tcW w:w="2547" w:type="dxa"/>
          </w:tcPr>
          <w:p w14:paraId="5FD465C1" w14:textId="77777777" w:rsidR="0055672E" w:rsidRDefault="0055672E" w:rsidP="0055672E">
            <w:pPr>
              <w:rPr>
                <w:b/>
              </w:rPr>
            </w:pPr>
            <w:r>
              <w:rPr>
                <w:b/>
              </w:rPr>
              <w:t>Next review date</w:t>
            </w:r>
          </w:p>
        </w:tc>
        <w:tc>
          <w:tcPr>
            <w:tcW w:w="4394" w:type="dxa"/>
          </w:tcPr>
          <w:p w14:paraId="5FD465C2" w14:textId="59708E03" w:rsidR="0055672E" w:rsidRPr="007E26D2" w:rsidRDefault="009E5880" w:rsidP="0055672E">
            <w:r>
              <w:t>March 2024</w:t>
            </w:r>
          </w:p>
        </w:tc>
      </w:tr>
      <w:tr w:rsidR="0055672E" w14:paraId="5FD465C6" w14:textId="77777777" w:rsidTr="00747FD4">
        <w:tc>
          <w:tcPr>
            <w:tcW w:w="2547" w:type="dxa"/>
          </w:tcPr>
          <w:p w14:paraId="5FD465C4" w14:textId="77777777" w:rsidR="0055672E" w:rsidRDefault="0055672E" w:rsidP="0055672E">
            <w:pPr>
              <w:rPr>
                <w:b/>
              </w:rPr>
            </w:pPr>
            <w:r>
              <w:rPr>
                <w:b/>
              </w:rPr>
              <w:t>Security level</w:t>
            </w:r>
          </w:p>
        </w:tc>
        <w:tc>
          <w:tcPr>
            <w:tcW w:w="4394" w:type="dxa"/>
          </w:tcPr>
          <w:p w14:paraId="5FD465C5" w14:textId="3F926C6D" w:rsidR="0055672E" w:rsidRPr="001C6FE5" w:rsidRDefault="0055672E" w:rsidP="0055672E">
            <w:pPr>
              <w:rPr>
                <w:i/>
              </w:rPr>
            </w:pPr>
            <w:r w:rsidRPr="00CA7BB7">
              <w:t>Open</w:t>
            </w:r>
          </w:p>
        </w:tc>
      </w:tr>
      <w:tr w:rsidR="0055672E" w14:paraId="5FD465C9" w14:textId="77777777" w:rsidTr="00747FD4">
        <w:tc>
          <w:tcPr>
            <w:tcW w:w="2547" w:type="dxa"/>
          </w:tcPr>
          <w:p w14:paraId="5FD465C7" w14:textId="77777777" w:rsidR="0055672E" w:rsidRDefault="0055672E" w:rsidP="0055672E">
            <w:pPr>
              <w:rPr>
                <w:b/>
              </w:rPr>
            </w:pPr>
            <w:r>
              <w:rPr>
                <w:b/>
              </w:rPr>
              <w:t>Audience</w:t>
            </w:r>
          </w:p>
        </w:tc>
        <w:tc>
          <w:tcPr>
            <w:tcW w:w="4394" w:type="dxa"/>
          </w:tcPr>
          <w:p w14:paraId="5FD465C8" w14:textId="5584D96A" w:rsidR="0055672E" w:rsidRDefault="00F55C6D" w:rsidP="0055672E">
            <w:r>
              <w:t>Compilers of financial data for statutory returns</w:t>
            </w:r>
          </w:p>
        </w:tc>
      </w:tr>
    </w:tbl>
    <w:p w14:paraId="5FD465CA" w14:textId="77777777" w:rsidR="00BB66A2" w:rsidRDefault="005E7EF0" w:rsidP="00A01566">
      <w:pPr>
        <w:rPr>
          <w:b/>
        </w:rPr>
      </w:pPr>
      <w:r w:rsidRPr="007132B0">
        <w:rPr>
          <w:b/>
          <w:noProof/>
          <w:sz w:val="24"/>
          <w:lang w:eastAsia="en-GB"/>
        </w:rPr>
        <w:drawing>
          <wp:anchor distT="107950" distB="107950" distL="107950" distR="107950" simplePos="0" relativeHeight="251659264" behindDoc="0" locked="0" layoutInCell="1" allowOverlap="1" wp14:anchorId="5FD46637" wp14:editId="5FD46638">
            <wp:simplePos x="0" y="0"/>
            <wp:positionH relativeFrom="margin">
              <wp:posOffset>4601260</wp:posOffset>
            </wp:positionH>
            <wp:positionV relativeFrom="margin">
              <wp:align>top</wp:align>
            </wp:positionV>
            <wp:extent cx="1080000" cy="10800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56_ox_brand_blue_po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page">
              <wp14:pctWidth>0</wp14:pctWidth>
            </wp14:sizeRelH>
            <wp14:sizeRelV relativeFrom="page">
              <wp14:pctHeight>0</wp14:pctHeight>
            </wp14:sizeRelV>
          </wp:anchor>
        </w:drawing>
      </w:r>
    </w:p>
    <w:sdt>
      <w:sdtPr>
        <w:rPr>
          <w:caps/>
          <w:smallCaps w:val="0"/>
          <w:spacing w:val="0"/>
          <w:sz w:val="20"/>
          <w:szCs w:val="20"/>
        </w:rPr>
        <w:id w:val="647092220"/>
        <w:docPartObj>
          <w:docPartGallery w:val="Table of Contents"/>
          <w:docPartUnique/>
        </w:docPartObj>
      </w:sdtPr>
      <w:sdtEndPr>
        <w:rPr>
          <w:b/>
          <w:bCs/>
          <w:caps w:val="0"/>
          <w:noProof/>
        </w:rPr>
      </w:sdtEndPr>
      <w:sdtContent>
        <w:p w14:paraId="5FD465CB" w14:textId="77777777" w:rsidR="00BB66A2" w:rsidRDefault="00BB66A2">
          <w:pPr>
            <w:pStyle w:val="TOCHeading"/>
          </w:pPr>
          <w:r>
            <w:t>Contents</w:t>
          </w:r>
        </w:p>
        <w:p w14:paraId="3D28EBC2" w14:textId="4482DB30" w:rsidR="00CA453C" w:rsidRDefault="00BB66A2">
          <w:pPr>
            <w:pStyle w:val="TOC1"/>
            <w:tabs>
              <w:tab w:val="left" w:pos="440"/>
              <w:tab w:val="right" w:leader="dot" w:pos="9017"/>
            </w:tabs>
            <w:rPr>
              <w:noProof/>
              <w:sz w:val="22"/>
              <w:szCs w:val="22"/>
              <w:lang w:eastAsia="en-GB"/>
            </w:rPr>
          </w:pPr>
          <w:r>
            <w:fldChar w:fldCharType="begin"/>
          </w:r>
          <w:r>
            <w:instrText xml:space="preserve"> TOC \o "1-3" \h \z \u </w:instrText>
          </w:r>
          <w:r>
            <w:fldChar w:fldCharType="separate"/>
          </w:r>
          <w:hyperlink w:anchor="_Toc70678985" w:history="1">
            <w:r w:rsidR="00CA453C" w:rsidRPr="00BA19E0">
              <w:rPr>
                <w:rStyle w:val="Hyperlink"/>
                <w:noProof/>
              </w:rPr>
              <w:t>1</w:t>
            </w:r>
            <w:r w:rsidR="00CA453C">
              <w:rPr>
                <w:noProof/>
                <w:sz w:val="22"/>
                <w:szCs w:val="22"/>
                <w:lang w:eastAsia="en-GB"/>
              </w:rPr>
              <w:tab/>
            </w:r>
            <w:r w:rsidR="00CA453C" w:rsidRPr="00BA19E0">
              <w:rPr>
                <w:rStyle w:val="Hyperlink"/>
                <w:noProof/>
              </w:rPr>
              <w:t>Introduction</w:t>
            </w:r>
            <w:r w:rsidR="00CA453C">
              <w:rPr>
                <w:noProof/>
                <w:webHidden/>
              </w:rPr>
              <w:tab/>
            </w:r>
            <w:r w:rsidR="00CA453C">
              <w:rPr>
                <w:noProof/>
                <w:webHidden/>
              </w:rPr>
              <w:fldChar w:fldCharType="begin"/>
            </w:r>
            <w:r w:rsidR="00CA453C">
              <w:rPr>
                <w:noProof/>
                <w:webHidden/>
              </w:rPr>
              <w:instrText xml:space="preserve"> PAGEREF _Toc70678985 \h </w:instrText>
            </w:r>
            <w:r w:rsidR="00CA453C">
              <w:rPr>
                <w:noProof/>
                <w:webHidden/>
              </w:rPr>
            </w:r>
            <w:r w:rsidR="00CA453C">
              <w:rPr>
                <w:noProof/>
                <w:webHidden/>
              </w:rPr>
              <w:fldChar w:fldCharType="separate"/>
            </w:r>
            <w:r w:rsidR="00CA453C">
              <w:rPr>
                <w:noProof/>
                <w:webHidden/>
              </w:rPr>
              <w:t>2</w:t>
            </w:r>
            <w:r w:rsidR="00CA453C">
              <w:rPr>
                <w:noProof/>
                <w:webHidden/>
              </w:rPr>
              <w:fldChar w:fldCharType="end"/>
            </w:r>
          </w:hyperlink>
        </w:p>
        <w:p w14:paraId="65E94E89" w14:textId="2DB608B6" w:rsidR="00CA453C" w:rsidRDefault="00D818F1">
          <w:pPr>
            <w:pStyle w:val="TOC1"/>
            <w:tabs>
              <w:tab w:val="left" w:pos="440"/>
              <w:tab w:val="right" w:leader="dot" w:pos="9017"/>
            </w:tabs>
            <w:rPr>
              <w:noProof/>
              <w:sz w:val="22"/>
              <w:szCs w:val="22"/>
              <w:lang w:eastAsia="en-GB"/>
            </w:rPr>
          </w:pPr>
          <w:hyperlink w:anchor="_Toc70678986" w:history="1">
            <w:r w:rsidR="00CA453C" w:rsidRPr="00BA19E0">
              <w:rPr>
                <w:rStyle w:val="Hyperlink"/>
                <w:noProof/>
              </w:rPr>
              <w:t>2</w:t>
            </w:r>
            <w:r w:rsidR="00CA453C">
              <w:rPr>
                <w:noProof/>
                <w:sz w:val="22"/>
                <w:szCs w:val="22"/>
                <w:lang w:eastAsia="en-GB"/>
              </w:rPr>
              <w:tab/>
            </w:r>
            <w:r w:rsidR="00CA453C" w:rsidRPr="00BA19E0">
              <w:rPr>
                <w:rStyle w:val="Hyperlink"/>
                <w:noProof/>
              </w:rPr>
              <w:t>Purpose</w:t>
            </w:r>
            <w:r w:rsidR="00CA453C">
              <w:rPr>
                <w:noProof/>
                <w:webHidden/>
              </w:rPr>
              <w:tab/>
            </w:r>
            <w:r w:rsidR="00CA453C">
              <w:rPr>
                <w:noProof/>
                <w:webHidden/>
              </w:rPr>
              <w:fldChar w:fldCharType="begin"/>
            </w:r>
            <w:r w:rsidR="00CA453C">
              <w:rPr>
                <w:noProof/>
                <w:webHidden/>
              </w:rPr>
              <w:instrText xml:space="preserve"> PAGEREF _Toc70678986 \h </w:instrText>
            </w:r>
            <w:r w:rsidR="00CA453C">
              <w:rPr>
                <w:noProof/>
                <w:webHidden/>
              </w:rPr>
            </w:r>
            <w:r w:rsidR="00CA453C">
              <w:rPr>
                <w:noProof/>
                <w:webHidden/>
              </w:rPr>
              <w:fldChar w:fldCharType="separate"/>
            </w:r>
            <w:r w:rsidR="00CA453C">
              <w:rPr>
                <w:noProof/>
                <w:webHidden/>
              </w:rPr>
              <w:t>2</w:t>
            </w:r>
            <w:r w:rsidR="00CA453C">
              <w:rPr>
                <w:noProof/>
                <w:webHidden/>
              </w:rPr>
              <w:fldChar w:fldCharType="end"/>
            </w:r>
          </w:hyperlink>
        </w:p>
        <w:p w14:paraId="4276CE89" w14:textId="7D387FE3" w:rsidR="00CA453C" w:rsidRDefault="00D818F1">
          <w:pPr>
            <w:pStyle w:val="TOC1"/>
            <w:tabs>
              <w:tab w:val="left" w:pos="440"/>
              <w:tab w:val="right" w:leader="dot" w:pos="9017"/>
            </w:tabs>
            <w:rPr>
              <w:noProof/>
              <w:sz w:val="22"/>
              <w:szCs w:val="22"/>
              <w:lang w:eastAsia="en-GB"/>
            </w:rPr>
          </w:pPr>
          <w:hyperlink w:anchor="_Toc70678987" w:history="1">
            <w:r w:rsidR="00CA453C" w:rsidRPr="00BA19E0">
              <w:rPr>
                <w:rStyle w:val="Hyperlink"/>
                <w:noProof/>
              </w:rPr>
              <w:t>3</w:t>
            </w:r>
            <w:r w:rsidR="00CA453C">
              <w:rPr>
                <w:noProof/>
                <w:sz w:val="22"/>
                <w:szCs w:val="22"/>
                <w:lang w:eastAsia="en-GB"/>
              </w:rPr>
              <w:tab/>
            </w:r>
            <w:r w:rsidR="00CA453C" w:rsidRPr="00BA19E0">
              <w:rPr>
                <w:rStyle w:val="Hyperlink"/>
                <w:noProof/>
              </w:rPr>
              <w:t>Scope</w:t>
            </w:r>
            <w:r w:rsidR="00CA453C">
              <w:rPr>
                <w:noProof/>
                <w:webHidden/>
              </w:rPr>
              <w:tab/>
            </w:r>
            <w:r w:rsidR="00CA453C">
              <w:rPr>
                <w:noProof/>
                <w:webHidden/>
              </w:rPr>
              <w:fldChar w:fldCharType="begin"/>
            </w:r>
            <w:r w:rsidR="00CA453C">
              <w:rPr>
                <w:noProof/>
                <w:webHidden/>
              </w:rPr>
              <w:instrText xml:space="preserve"> PAGEREF _Toc70678987 \h </w:instrText>
            </w:r>
            <w:r w:rsidR="00CA453C">
              <w:rPr>
                <w:noProof/>
                <w:webHidden/>
              </w:rPr>
            </w:r>
            <w:r w:rsidR="00CA453C">
              <w:rPr>
                <w:noProof/>
                <w:webHidden/>
              </w:rPr>
              <w:fldChar w:fldCharType="separate"/>
            </w:r>
            <w:r w:rsidR="00CA453C">
              <w:rPr>
                <w:noProof/>
                <w:webHidden/>
              </w:rPr>
              <w:t>2</w:t>
            </w:r>
            <w:r w:rsidR="00CA453C">
              <w:rPr>
                <w:noProof/>
                <w:webHidden/>
              </w:rPr>
              <w:fldChar w:fldCharType="end"/>
            </w:r>
          </w:hyperlink>
        </w:p>
        <w:p w14:paraId="62DE45C5" w14:textId="1F030B49" w:rsidR="00CA453C" w:rsidRDefault="00D818F1">
          <w:pPr>
            <w:pStyle w:val="TOC1"/>
            <w:tabs>
              <w:tab w:val="left" w:pos="440"/>
              <w:tab w:val="right" w:leader="dot" w:pos="9017"/>
            </w:tabs>
            <w:rPr>
              <w:noProof/>
              <w:sz w:val="22"/>
              <w:szCs w:val="22"/>
              <w:lang w:eastAsia="en-GB"/>
            </w:rPr>
          </w:pPr>
          <w:hyperlink w:anchor="_Toc70678988" w:history="1">
            <w:r w:rsidR="00CA453C" w:rsidRPr="00BA19E0">
              <w:rPr>
                <w:rStyle w:val="Hyperlink"/>
                <w:noProof/>
              </w:rPr>
              <w:t>4</w:t>
            </w:r>
            <w:r w:rsidR="00CA453C">
              <w:rPr>
                <w:noProof/>
                <w:sz w:val="22"/>
                <w:szCs w:val="22"/>
                <w:lang w:eastAsia="en-GB"/>
              </w:rPr>
              <w:tab/>
            </w:r>
            <w:r w:rsidR="00CA453C" w:rsidRPr="00BA19E0">
              <w:rPr>
                <w:rStyle w:val="Hyperlink"/>
                <w:noProof/>
              </w:rPr>
              <w:t>Policy objectives</w:t>
            </w:r>
            <w:r w:rsidR="00CA453C">
              <w:rPr>
                <w:noProof/>
                <w:webHidden/>
              </w:rPr>
              <w:tab/>
            </w:r>
            <w:r w:rsidR="00CA453C">
              <w:rPr>
                <w:noProof/>
                <w:webHidden/>
              </w:rPr>
              <w:fldChar w:fldCharType="begin"/>
            </w:r>
            <w:r w:rsidR="00CA453C">
              <w:rPr>
                <w:noProof/>
                <w:webHidden/>
              </w:rPr>
              <w:instrText xml:space="preserve"> PAGEREF _Toc70678988 \h </w:instrText>
            </w:r>
            <w:r w:rsidR="00CA453C">
              <w:rPr>
                <w:noProof/>
                <w:webHidden/>
              </w:rPr>
            </w:r>
            <w:r w:rsidR="00CA453C">
              <w:rPr>
                <w:noProof/>
                <w:webHidden/>
              </w:rPr>
              <w:fldChar w:fldCharType="separate"/>
            </w:r>
            <w:r w:rsidR="00CA453C">
              <w:rPr>
                <w:noProof/>
                <w:webHidden/>
              </w:rPr>
              <w:t>2</w:t>
            </w:r>
            <w:r w:rsidR="00CA453C">
              <w:rPr>
                <w:noProof/>
                <w:webHidden/>
              </w:rPr>
              <w:fldChar w:fldCharType="end"/>
            </w:r>
          </w:hyperlink>
        </w:p>
        <w:p w14:paraId="042774E8" w14:textId="14952381" w:rsidR="00CA453C" w:rsidRDefault="00D818F1">
          <w:pPr>
            <w:pStyle w:val="TOC1"/>
            <w:tabs>
              <w:tab w:val="left" w:pos="440"/>
              <w:tab w:val="right" w:leader="dot" w:pos="9017"/>
            </w:tabs>
            <w:rPr>
              <w:noProof/>
              <w:sz w:val="22"/>
              <w:szCs w:val="22"/>
              <w:lang w:eastAsia="en-GB"/>
            </w:rPr>
          </w:pPr>
          <w:hyperlink w:anchor="_Toc70678989" w:history="1">
            <w:r w:rsidR="00CA453C" w:rsidRPr="00BA19E0">
              <w:rPr>
                <w:rStyle w:val="Hyperlink"/>
                <w:noProof/>
              </w:rPr>
              <w:t>5</w:t>
            </w:r>
            <w:r w:rsidR="00CA453C">
              <w:rPr>
                <w:noProof/>
                <w:sz w:val="22"/>
                <w:szCs w:val="22"/>
                <w:lang w:eastAsia="en-GB"/>
              </w:rPr>
              <w:tab/>
            </w:r>
            <w:r w:rsidR="00CA453C" w:rsidRPr="00BA19E0">
              <w:rPr>
                <w:rStyle w:val="Hyperlink"/>
                <w:noProof/>
              </w:rPr>
              <w:t>Risks</w:t>
            </w:r>
            <w:r w:rsidR="00CA453C">
              <w:rPr>
                <w:noProof/>
                <w:webHidden/>
              </w:rPr>
              <w:tab/>
            </w:r>
            <w:r w:rsidR="00CA453C">
              <w:rPr>
                <w:noProof/>
                <w:webHidden/>
              </w:rPr>
              <w:fldChar w:fldCharType="begin"/>
            </w:r>
            <w:r w:rsidR="00CA453C">
              <w:rPr>
                <w:noProof/>
                <w:webHidden/>
              </w:rPr>
              <w:instrText xml:space="preserve"> PAGEREF _Toc70678989 \h </w:instrText>
            </w:r>
            <w:r w:rsidR="00CA453C">
              <w:rPr>
                <w:noProof/>
                <w:webHidden/>
              </w:rPr>
            </w:r>
            <w:r w:rsidR="00CA453C">
              <w:rPr>
                <w:noProof/>
                <w:webHidden/>
              </w:rPr>
              <w:fldChar w:fldCharType="separate"/>
            </w:r>
            <w:r w:rsidR="00CA453C">
              <w:rPr>
                <w:noProof/>
                <w:webHidden/>
              </w:rPr>
              <w:t>2</w:t>
            </w:r>
            <w:r w:rsidR="00CA453C">
              <w:rPr>
                <w:noProof/>
                <w:webHidden/>
              </w:rPr>
              <w:fldChar w:fldCharType="end"/>
            </w:r>
          </w:hyperlink>
        </w:p>
        <w:p w14:paraId="78BC8FB1" w14:textId="106FCE85" w:rsidR="00CA453C" w:rsidRDefault="00D818F1">
          <w:pPr>
            <w:pStyle w:val="TOC1"/>
            <w:tabs>
              <w:tab w:val="left" w:pos="440"/>
              <w:tab w:val="right" w:leader="dot" w:pos="9017"/>
            </w:tabs>
            <w:rPr>
              <w:noProof/>
              <w:sz w:val="22"/>
              <w:szCs w:val="22"/>
              <w:lang w:eastAsia="en-GB"/>
            </w:rPr>
          </w:pPr>
          <w:hyperlink w:anchor="_Toc70678990" w:history="1">
            <w:r w:rsidR="00CA453C" w:rsidRPr="00BA19E0">
              <w:rPr>
                <w:rStyle w:val="Hyperlink"/>
                <w:noProof/>
              </w:rPr>
              <w:t>6</w:t>
            </w:r>
            <w:r w:rsidR="00CA453C">
              <w:rPr>
                <w:noProof/>
                <w:sz w:val="22"/>
                <w:szCs w:val="22"/>
                <w:lang w:eastAsia="en-GB"/>
              </w:rPr>
              <w:tab/>
            </w:r>
            <w:r w:rsidR="00CA453C" w:rsidRPr="00BA19E0">
              <w:rPr>
                <w:rStyle w:val="Hyperlink"/>
                <w:noProof/>
              </w:rPr>
              <w:t>Policy</w:t>
            </w:r>
            <w:r w:rsidR="00CA453C">
              <w:rPr>
                <w:noProof/>
                <w:webHidden/>
              </w:rPr>
              <w:tab/>
            </w:r>
            <w:r w:rsidR="00CA453C">
              <w:rPr>
                <w:noProof/>
                <w:webHidden/>
              </w:rPr>
              <w:fldChar w:fldCharType="begin"/>
            </w:r>
            <w:r w:rsidR="00CA453C">
              <w:rPr>
                <w:noProof/>
                <w:webHidden/>
              </w:rPr>
              <w:instrText xml:space="preserve"> PAGEREF _Toc70678990 \h </w:instrText>
            </w:r>
            <w:r w:rsidR="00CA453C">
              <w:rPr>
                <w:noProof/>
                <w:webHidden/>
              </w:rPr>
            </w:r>
            <w:r w:rsidR="00CA453C">
              <w:rPr>
                <w:noProof/>
                <w:webHidden/>
              </w:rPr>
              <w:fldChar w:fldCharType="separate"/>
            </w:r>
            <w:r w:rsidR="00CA453C">
              <w:rPr>
                <w:noProof/>
                <w:webHidden/>
              </w:rPr>
              <w:t>3</w:t>
            </w:r>
            <w:r w:rsidR="00CA453C">
              <w:rPr>
                <w:noProof/>
                <w:webHidden/>
              </w:rPr>
              <w:fldChar w:fldCharType="end"/>
            </w:r>
          </w:hyperlink>
        </w:p>
        <w:p w14:paraId="74E167F8" w14:textId="1BD7471D" w:rsidR="00CA453C" w:rsidRDefault="00D818F1">
          <w:pPr>
            <w:pStyle w:val="TOC2"/>
            <w:tabs>
              <w:tab w:val="left" w:pos="880"/>
              <w:tab w:val="right" w:leader="dot" w:pos="9017"/>
            </w:tabs>
            <w:rPr>
              <w:noProof/>
              <w:sz w:val="22"/>
              <w:szCs w:val="22"/>
              <w:lang w:eastAsia="en-GB"/>
            </w:rPr>
          </w:pPr>
          <w:hyperlink w:anchor="_Toc70678991" w:history="1">
            <w:r w:rsidR="00CA453C" w:rsidRPr="00BA19E0">
              <w:rPr>
                <w:rStyle w:val="Hyperlink"/>
                <w:rFonts w:ascii="Arial" w:hAnsi="Arial" w:cs="Arial"/>
                <w:noProof/>
              </w:rPr>
              <w:t>6.1</w:t>
            </w:r>
            <w:r w:rsidR="00CA453C">
              <w:rPr>
                <w:noProof/>
                <w:sz w:val="22"/>
                <w:szCs w:val="22"/>
                <w:lang w:eastAsia="en-GB"/>
              </w:rPr>
              <w:tab/>
            </w:r>
            <w:r w:rsidR="00CA453C" w:rsidRPr="00BA19E0">
              <w:rPr>
                <w:rStyle w:val="Hyperlink"/>
                <w:noProof/>
              </w:rPr>
              <w:t>Responsibilities</w:t>
            </w:r>
            <w:r w:rsidR="00CA453C">
              <w:rPr>
                <w:noProof/>
                <w:webHidden/>
              </w:rPr>
              <w:tab/>
            </w:r>
            <w:r w:rsidR="00CA453C">
              <w:rPr>
                <w:noProof/>
                <w:webHidden/>
              </w:rPr>
              <w:fldChar w:fldCharType="begin"/>
            </w:r>
            <w:r w:rsidR="00CA453C">
              <w:rPr>
                <w:noProof/>
                <w:webHidden/>
              </w:rPr>
              <w:instrText xml:space="preserve"> PAGEREF _Toc70678991 \h </w:instrText>
            </w:r>
            <w:r w:rsidR="00CA453C">
              <w:rPr>
                <w:noProof/>
                <w:webHidden/>
              </w:rPr>
            </w:r>
            <w:r w:rsidR="00CA453C">
              <w:rPr>
                <w:noProof/>
                <w:webHidden/>
              </w:rPr>
              <w:fldChar w:fldCharType="separate"/>
            </w:r>
            <w:r w:rsidR="00CA453C">
              <w:rPr>
                <w:noProof/>
                <w:webHidden/>
              </w:rPr>
              <w:t>3</w:t>
            </w:r>
            <w:r w:rsidR="00CA453C">
              <w:rPr>
                <w:noProof/>
                <w:webHidden/>
              </w:rPr>
              <w:fldChar w:fldCharType="end"/>
            </w:r>
          </w:hyperlink>
        </w:p>
        <w:p w14:paraId="065E79E0" w14:textId="663411E0" w:rsidR="00CA453C" w:rsidRDefault="00D818F1">
          <w:pPr>
            <w:pStyle w:val="TOC2"/>
            <w:tabs>
              <w:tab w:val="left" w:pos="880"/>
              <w:tab w:val="right" w:leader="dot" w:pos="9017"/>
            </w:tabs>
            <w:rPr>
              <w:noProof/>
              <w:sz w:val="22"/>
              <w:szCs w:val="22"/>
              <w:lang w:eastAsia="en-GB"/>
            </w:rPr>
          </w:pPr>
          <w:hyperlink w:anchor="_Toc70678992" w:history="1">
            <w:r w:rsidR="00CA453C" w:rsidRPr="00BA19E0">
              <w:rPr>
                <w:rStyle w:val="Hyperlink"/>
                <w:rFonts w:ascii="Arial" w:hAnsi="Arial" w:cs="Arial"/>
                <w:noProof/>
              </w:rPr>
              <w:t>6.2</w:t>
            </w:r>
            <w:r w:rsidR="00CA453C">
              <w:rPr>
                <w:noProof/>
                <w:sz w:val="22"/>
                <w:szCs w:val="22"/>
                <w:lang w:eastAsia="en-GB"/>
              </w:rPr>
              <w:tab/>
            </w:r>
            <w:r w:rsidR="00CA453C" w:rsidRPr="00BA19E0">
              <w:rPr>
                <w:rStyle w:val="Hyperlink"/>
                <w:noProof/>
              </w:rPr>
              <w:t>Policies, procedures, processes, systems</w:t>
            </w:r>
            <w:r w:rsidR="00CA453C">
              <w:rPr>
                <w:noProof/>
                <w:webHidden/>
              </w:rPr>
              <w:tab/>
            </w:r>
            <w:r w:rsidR="00CA453C">
              <w:rPr>
                <w:noProof/>
                <w:webHidden/>
              </w:rPr>
              <w:fldChar w:fldCharType="begin"/>
            </w:r>
            <w:r w:rsidR="00CA453C">
              <w:rPr>
                <w:noProof/>
                <w:webHidden/>
              </w:rPr>
              <w:instrText xml:space="preserve"> PAGEREF _Toc70678992 \h </w:instrText>
            </w:r>
            <w:r w:rsidR="00CA453C">
              <w:rPr>
                <w:noProof/>
                <w:webHidden/>
              </w:rPr>
            </w:r>
            <w:r w:rsidR="00CA453C">
              <w:rPr>
                <w:noProof/>
                <w:webHidden/>
              </w:rPr>
              <w:fldChar w:fldCharType="separate"/>
            </w:r>
            <w:r w:rsidR="00CA453C">
              <w:rPr>
                <w:noProof/>
                <w:webHidden/>
              </w:rPr>
              <w:t>3</w:t>
            </w:r>
            <w:r w:rsidR="00CA453C">
              <w:rPr>
                <w:noProof/>
                <w:webHidden/>
              </w:rPr>
              <w:fldChar w:fldCharType="end"/>
            </w:r>
          </w:hyperlink>
        </w:p>
        <w:p w14:paraId="717645B0" w14:textId="5FE14C00" w:rsidR="00CA453C" w:rsidRDefault="00D818F1">
          <w:pPr>
            <w:pStyle w:val="TOC2"/>
            <w:tabs>
              <w:tab w:val="left" w:pos="880"/>
              <w:tab w:val="right" w:leader="dot" w:pos="9017"/>
            </w:tabs>
            <w:rPr>
              <w:noProof/>
              <w:sz w:val="22"/>
              <w:szCs w:val="22"/>
              <w:lang w:eastAsia="en-GB"/>
            </w:rPr>
          </w:pPr>
          <w:hyperlink w:anchor="_Toc70678993" w:history="1">
            <w:r w:rsidR="00CA453C" w:rsidRPr="00BA19E0">
              <w:rPr>
                <w:rStyle w:val="Hyperlink"/>
                <w:rFonts w:ascii="Arial" w:hAnsi="Arial" w:cs="Arial"/>
                <w:noProof/>
              </w:rPr>
              <w:t>6.3</w:t>
            </w:r>
            <w:r w:rsidR="00CA453C">
              <w:rPr>
                <w:noProof/>
                <w:sz w:val="22"/>
                <w:szCs w:val="22"/>
                <w:lang w:eastAsia="en-GB"/>
              </w:rPr>
              <w:tab/>
            </w:r>
            <w:r w:rsidR="00CA453C" w:rsidRPr="00BA19E0">
              <w:rPr>
                <w:rStyle w:val="Hyperlink"/>
                <w:noProof/>
              </w:rPr>
              <w:t>Security</w:t>
            </w:r>
            <w:r w:rsidR="00CA453C">
              <w:rPr>
                <w:noProof/>
                <w:webHidden/>
              </w:rPr>
              <w:tab/>
            </w:r>
            <w:r w:rsidR="00CA453C">
              <w:rPr>
                <w:noProof/>
                <w:webHidden/>
              </w:rPr>
              <w:fldChar w:fldCharType="begin"/>
            </w:r>
            <w:r w:rsidR="00CA453C">
              <w:rPr>
                <w:noProof/>
                <w:webHidden/>
              </w:rPr>
              <w:instrText xml:space="preserve"> PAGEREF _Toc70678993 \h </w:instrText>
            </w:r>
            <w:r w:rsidR="00CA453C">
              <w:rPr>
                <w:noProof/>
                <w:webHidden/>
              </w:rPr>
            </w:r>
            <w:r w:rsidR="00CA453C">
              <w:rPr>
                <w:noProof/>
                <w:webHidden/>
              </w:rPr>
              <w:fldChar w:fldCharType="separate"/>
            </w:r>
            <w:r w:rsidR="00CA453C">
              <w:rPr>
                <w:noProof/>
                <w:webHidden/>
              </w:rPr>
              <w:t>3</w:t>
            </w:r>
            <w:r w:rsidR="00CA453C">
              <w:rPr>
                <w:noProof/>
                <w:webHidden/>
              </w:rPr>
              <w:fldChar w:fldCharType="end"/>
            </w:r>
          </w:hyperlink>
        </w:p>
        <w:p w14:paraId="615C5D6F" w14:textId="3E827E9D" w:rsidR="00CA453C" w:rsidRDefault="00D818F1">
          <w:pPr>
            <w:pStyle w:val="TOC2"/>
            <w:tabs>
              <w:tab w:val="left" w:pos="880"/>
              <w:tab w:val="right" w:leader="dot" w:pos="9017"/>
            </w:tabs>
            <w:rPr>
              <w:noProof/>
              <w:sz w:val="22"/>
              <w:szCs w:val="22"/>
              <w:lang w:eastAsia="en-GB"/>
            </w:rPr>
          </w:pPr>
          <w:hyperlink w:anchor="_Toc70678994" w:history="1">
            <w:r w:rsidR="00CA453C" w:rsidRPr="00BA19E0">
              <w:rPr>
                <w:rStyle w:val="Hyperlink"/>
                <w:rFonts w:ascii="Arial" w:hAnsi="Arial" w:cs="Arial"/>
                <w:noProof/>
              </w:rPr>
              <w:t>6.4</w:t>
            </w:r>
            <w:r w:rsidR="00CA453C">
              <w:rPr>
                <w:noProof/>
                <w:sz w:val="22"/>
                <w:szCs w:val="22"/>
                <w:lang w:eastAsia="en-GB"/>
              </w:rPr>
              <w:tab/>
            </w:r>
            <w:r w:rsidR="00CA453C" w:rsidRPr="00BA19E0">
              <w:rPr>
                <w:rStyle w:val="Hyperlink"/>
                <w:noProof/>
              </w:rPr>
              <w:t>Data quality assurance</w:t>
            </w:r>
            <w:r w:rsidR="00CA453C">
              <w:rPr>
                <w:noProof/>
                <w:webHidden/>
              </w:rPr>
              <w:tab/>
            </w:r>
            <w:r w:rsidR="00CA453C">
              <w:rPr>
                <w:noProof/>
                <w:webHidden/>
              </w:rPr>
              <w:fldChar w:fldCharType="begin"/>
            </w:r>
            <w:r w:rsidR="00CA453C">
              <w:rPr>
                <w:noProof/>
                <w:webHidden/>
              </w:rPr>
              <w:instrText xml:space="preserve"> PAGEREF _Toc70678994 \h </w:instrText>
            </w:r>
            <w:r w:rsidR="00CA453C">
              <w:rPr>
                <w:noProof/>
                <w:webHidden/>
              </w:rPr>
            </w:r>
            <w:r w:rsidR="00CA453C">
              <w:rPr>
                <w:noProof/>
                <w:webHidden/>
              </w:rPr>
              <w:fldChar w:fldCharType="separate"/>
            </w:r>
            <w:r w:rsidR="00CA453C">
              <w:rPr>
                <w:noProof/>
                <w:webHidden/>
              </w:rPr>
              <w:t>4</w:t>
            </w:r>
            <w:r w:rsidR="00CA453C">
              <w:rPr>
                <w:noProof/>
                <w:webHidden/>
              </w:rPr>
              <w:fldChar w:fldCharType="end"/>
            </w:r>
          </w:hyperlink>
        </w:p>
        <w:p w14:paraId="2F7945C4" w14:textId="2A60C522" w:rsidR="00CA453C" w:rsidRDefault="00D818F1">
          <w:pPr>
            <w:pStyle w:val="TOC2"/>
            <w:tabs>
              <w:tab w:val="left" w:pos="880"/>
              <w:tab w:val="right" w:leader="dot" w:pos="9017"/>
            </w:tabs>
            <w:rPr>
              <w:noProof/>
              <w:sz w:val="22"/>
              <w:szCs w:val="22"/>
              <w:lang w:eastAsia="en-GB"/>
            </w:rPr>
          </w:pPr>
          <w:hyperlink w:anchor="_Toc70678995" w:history="1">
            <w:r w:rsidR="00CA453C" w:rsidRPr="00BA19E0">
              <w:rPr>
                <w:rStyle w:val="Hyperlink"/>
                <w:rFonts w:ascii="Arial" w:hAnsi="Arial" w:cs="Arial"/>
                <w:noProof/>
              </w:rPr>
              <w:t>6.5</w:t>
            </w:r>
            <w:r w:rsidR="00CA453C">
              <w:rPr>
                <w:noProof/>
                <w:sz w:val="22"/>
                <w:szCs w:val="22"/>
                <w:lang w:eastAsia="en-GB"/>
              </w:rPr>
              <w:tab/>
            </w:r>
            <w:r w:rsidR="00CA453C" w:rsidRPr="00BA19E0">
              <w:rPr>
                <w:rStyle w:val="Hyperlink"/>
                <w:noProof/>
              </w:rPr>
              <w:t>Training</w:t>
            </w:r>
            <w:r w:rsidR="00CA453C">
              <w:rPr>
                <w:noProof/>
                <w:webHidden/>
              </w:rPr>
              <w:tab/>
            </w:r>
            <w:r w:rsidR="00CA453C">
              <w:rPr>
                <w:noProof/>
                <w:webHidden/>
              </w:rPr>
              <w:fldChar w:fldCharType="begin"/>
            </w:r>
            <w:r w:rsidR="00CA453C">
              <w:rPr>
                <w:noProof/>
                <w:webHidden/>
              </w:rPr>
              <w:instrText xml:space="preserve"> PAGEREF _Toc70678995 \h </w:instrText>
            </w:r>
            <w:r w:rsidR="00CA453C">
              <w:rPr>
                <w:noProof/>
                <w:webHidden/>
              </w:rPr>
            </w:r>
            <w:r w:rsidR="00CA453C">
              <w:rPr>
                <w:noProof/>
                <w:webHidden/>
              </w:rPr>
              <w:fldChar w:fldCharType="separate"/>
            </w:r>
            <w:r w:rsidR="00CA453C">
              <w:rPr>
                <w:noProof/>
                <w:webHidden/>
              </w:rPr>
              <w:t>4</w:t>
            </w:r>
            <w:r w:rsidR="00CA453C">
              <w:rPr>
                <w:noProof/>
                <w:webHidden/>
              </w:rPr>
              <w:fldChar w:fldCharType="end"/>
            </w:r>
          </w:hyperlink>
        </w:p>
        <w:p w14:paraId="5A762CE5" w14:textId="01FA307E" w:rsidR="00CA453C" w:rsidRDefault="00D818F1">
          <w:pPr>
            <w:pStyle w:val="TOC2"/>
            <w:tabs>
              <w:tab w:val="left" w:pos="880"/>
              <w:tab w:val="right" w:leader="dot" w:pos="9017"/>
            </w:tabs>
            <w:rPr>
              <w:noProof/>
              <w:sz w:val="22"/>
              <w:szCs w:val="22"/>
              <w:lang w:eastAsia="en-GB"/>
            </w:rPr>
          </w:pPr>
          <w:hyperlink w:anchor="_Toc70678996" w:history="1">
            <w:r w:rsidR="00CA453C" w:rsidRPr="00BA19E0">
              <w:rPr>
                <w:rStyle w:val="Hyperlink"/>
                <w:rFonts w:ascii="Arial" w:hAnsi="Arial" w:cs="Arial"/>
                <w:noProof/>
              </w:rPr>
              <w:t>6.6</w:t>
            </w:r>
            <w:r w:rsidR="00CA453C">
              <w:rPr>
                <w:noProof/>
                <w:sz w:val="22"/>
                <w:szCs w:val="22"/>
                <w:lang w:eastAsia="en-GB"/>
              </w:rPr>
              <w:tab/>
            </w:r>
            <w:r w:rsidR="00CA453C" w:rsidRPr="00BA19E0">
              <w:rPr>
                <w:rStyle w:val="Hyperlink"/>
                <w:noProof/>
              </w:rPr>
              <w:t>Review and communication</w:t>
            </w:r>
            <w:r w:rsidR="00CA453C">
              <w:rPr>
                <w:noProof/>
                <w:webHidden/>
              </w:rPr>
              <w:tab/>
            </w:r>
            <w:r w:rsidR="00CA453C">
              <w:rPr>
                <w:noProof/>
                <w:webHidden/>
              </w:rPr>
              <w:fldChar w:fldCharType="begin"/>
            </w:r>
            <w:r w:rsidR="00CA453C">
              <w:rPr>
                <w:noProof/>
                <w:webHidden/>
              </w:rPr>
              <w:instrText xml:space="preserve"> PAGEREF _Toc70678996 \h </w:instrText>
            </w:r>
            <w:r w:rsidR="00CA453C">
              <w:rPr>
                <w:noProof/>
                <w:webHidden/>
              </w:rPr>
            </w:r>
            <w:r w:rsidR="00CA453C">
              <w:rPr>
                <w:noProof/>
                <w:webHidden/>
              </w:rPr>
              <w:fldChar w:fldCharType="separate"/>
            </w:r>
            <w:r w:rsidR="00CA453C">
              <w:rPr>
                <w:noProof/>
                <w:webHidden/>
              </w:rPr>
              <w:t>4</w:t>
            </w:r>
            <w:r w:rsidR="00CA453C">
              <w:rPr>
                <w:noProof/>
                <w:webHidden/>
              </w:rPr>
              <w:fldChar w:fldCharType="end"/>
            </w:r>
          </w:hyperlink>
        </w:p>
        <w:p w14:paraId="02A52BFB" w14:textId="46B8B4DC" w:rsidR="00CA453C" w:rsidRDefault="00D818F1">
          <w:pPr>
            <w:pStyle w:val="TOC1"/>
            <w:tabs>
              <w:tab w:val="right" w:leader="dot" w:pos="9017"/>
            </w:tabs>
            <w:rPr>
              <w:noProof/>
              <w:sz w:val="22"/>
              <w:szCs w:val="22"/>
              <w:lang w:eastAsia="en-GB"/>
            </w:rPr>
          </w:pPr>
          <w:hyperlink w:anchor="_Toc70678997" w:history="1">
            <w:r w:rsidR="00CA453C" w:rsidRPr="00BA19E0">
              <w:rPr>
                <w:rStyle w:val="Hyperlink"/>
                <w:noProof/>
              </w:rPr>
              <w:t>Appendix A: returns and reports in Finance</w:t>
            </w:r>
            <w:r w:rsidR="00CA453C">
              <w:rPr>
                <w:noProof/>
                <w:webHidden/>
              </w:rPr>
              <w:tab/>
            </w:r>
            <w:r w:rsidR="00CA453C">
              <w:rPr>
                <w:noProof/>
                <w:webHidden/>
              </w:rPr>
              <w:fldChar w:fldCharType="begin"/>
            </w:r>
            <w:r w:rsidR="00CA453C">
              <w:rPr>
                <w:noProof/>
                <w:webHidden/>
              </w:rPr>
              <w:instrText xml:space="preserve"> PAGEREF _Toc70678997 \h </w:instrText>
            </w:r>
            <w:r w:rsidR="00CA453C">
              <w:rPr>
                <w:noProof/>
                <w:webHidden/>
              </w:rPr>
            </w:r>
            <w:r w:rsidR="00CA453C">
              <w:rPr>
                <w:noProof/>
                <w:webHidden/>
              </w:rPr>
              <w:fldChar w:fldCharType="separate"/>
            </w:r>
            <w:r w:rsidR="00CA453C">
              <w:rPr>
                <w:noProof/>
                <w:webHidden/>
              </w:rPr>
              <w:t>5</w:t>
            </w:r>
            <w:r w:rsidR="00CA453C">
              <w:rPr>
                <w:noProof/>
                <w:webHidden/>
              </w:rPr>
              <w:fldChar w:fldCharType="end"/>
            </w:r>
          </w:hyperlink>
        </w:p>
        <w:p w14:paraId="1594E70C" w14:textId="2FA40163" w:rsidR="00CA453C" w:rsidRDefault="00D818F1">
          <w:pPr>
            <w:pStyle w:val="TOC1"/>
            <w:tabs>
              <w:tab w:val="right" w:leader="dot" w:pos="9017"/>
            </w:tabs>
            <w:rPr>
              <w:noProof/>
              <w:sz w:val="22"/>
              <w:szCs w:val="22"/>
              <w:lang w:eastAsia="en-GB"/>
            </w:rPr>
          </w:pPr>
          <w:hyperlink w:anchor="_Toc70678998" w:history="1">
            <w:r w:rsidR="00CA453C" w:rsidRPr="00BA19E0">
              <w:rPr>
                <w:rStyle w:val="Hyperlink"/>
                <w:noProof/>
              </w:rPr>
              <w:t>Appendix B: Glossary</w:t>
            </w:r>
            <w:r w:rsidR="00CA453C">
              <w:rPr>
                <w:noProof/>
                <w:webHidden/>
              </w:rPr>
              <w:tab/>
            </w:r>
            <w:r w:rsidR="00CA453C">
              <w:rPr>
                <w:noProof/>
                <w:webHidden/>
              </w:rPr>
              <w:fldChar w:fldCharType="begin"/>
            </w:r>
            <w:r w:rsidR="00CA453C">
              <w:rPr>
                <w:noProof/>
                <w:webHidden/>
              </w:rPr>
              <w:instrText xml:space="preserve"> PAGEREF _Toc70678998 \h </w:instrText>
            </w:r>
            <w:r w:rsidR="00CA453C">
              <w:rPr>
                <w:noProof/>
                <w:webHidden/>
              </w:rPr>
            </w:r>
            <w:r w:rsidR="00CA453C">
              <w:rPr>
                <w:noProof/>
                <w:webHidden/>
              </w:rPr>
              <w:fldChar w:fldCharType="separate"/>
            </w:r>
            <w:r w:rsidR="00CA453C">
              <w:rPr>
                <w:noProof/>
                <w:webHidden/>
              </w:rPr>
              <w:t>8</w:t>
            </w:r>
            <w:r w:rsidR="00CA453C">
              <w:rPr>
                <w:noProof/>
                <w:webHidden/>
              </w:rPr>
              <w:fldChar w:fldCharType="end"/>
            </w:r>
          </w:hyperlink>
        </w:p>
        <w:p w14:paraId="5FD465DA" w14:textId="31C712CC" w:rsidR="00BB66A2" w:rsidRDefault="00BB66A2">
          <w:r>
            <w:rPr>
              <w:b/>
              <w:bCs/>
              <w:noProof/>
            </w:rPr>
            <w:fldChar w:fldCharType="end"/>
          </w:r>
        </w:p>
      </w:sdtContent>
    </w:sdt>
    <w:p w14:paraId="5FD465DB" w14:textId="77777777" w:rsidR="00E37E84" w:rsidRPr="00460DD0" w:rsidRDefault="00460DD0" w:rsidP="00460DD0">
      <w:pPr>
        <w:pStyle w:val="Heading1"/>
      </w:pPr>
      <w:r>
        <w:br w:type="page"/>
      </w:r>
      <w:bookmarkStart w:id="1" w:name="_Toc70678985"/>
      <w:r w:rsidR="00E37E84">
        <w:lastRenderedPageBreak/>
        <w:t>1</w:t>
      </w:r>
      <w:r w:rsidR="00E37E84">
        <w:tab/>
        <w:t>Introduction</w:t>
      </w:r>
      <w:bookmarkEnd w:id="1"/>
    </w:p>
    <w:p w14:paraId="57464D6D" w14:textId="0B4B1D92" w:rsidR="00FE4C77" w:rsidRDefault="00FE4C77" w:rsidP="00FE4C77">
      <w:pPr>
        <w:rPr>
          <w:rFonts w:ascii="Arial" w:hAnsi="Arial" w:cs="Arial"/>
          <w:szCs w:val="22"/>
        </w:rPr>
      </w:pPr>
      <w:r w:rsidRPr="00FE4C77">
        <w:rPr>
          <w:rFonts w:ascii="Arial" w:hAnsi="Arial" w:cs="Arial"/>
          <w:szCs w:val="22"/>
        </w:rPr>
        <w:t>The OfS (Office for Students) requires University</w:t>
      </w:r>
      <w:r>
        <w:rPr>
          <w:rFonts w:ascii="Arial" w:hAnsi="Arial" w:cs="Arial"/>
          <w:szCs w:val="22"/>
        </w:rPr>
        <w:t>’s A</w:t>
      </w:r>
      <w:r w:rsidRPr="00FE4C77">
        <w:rPr>
          <w:rFonts w:ascii="Arial" w:hAnsi="Arial" w:cs="Arial"/>
          <w:szCs w:val="22"/>
        </w:rPr>
        <w:t>udit</w:t>
      </w:r>
      <w:r>
        <w:rPr>
          <w:rFonts w:ascii="Arial" w:hAnsi="Arial" w:cs="Arial"/>
          <w:szCs w:val="22"/>
        </w:rPr>
        <w:t xml:space="preserve"> and Scrutiny</w:t>
      </w:r>
      <w:r w:rsidRPr="00FE4C77">
        <w:rPr>
          <w:rFonts w:ascii="Arial" w:hAnsi="Arial" w:cs="Arial"/>
          <w:szCs w:val="22"/>
        </w:rPr>
        <w:t xml:space="preserve"> </w:t>
      </w:r>
      <w:r>
        <w:rPr>
          <w:rFonts w:ascii="Arial" w:hAnsi="Arial" w:cs="Arial"/>
          <w:szCs w:val="22"/>
        </w:rPr>
        <w:t>C</w:t>
      </w:r>
      <w:r w:rsidRPr="00FE4C77">
        <w:rPr>
          <w:rFonts w:ascii="Arial" w:hAnsi="Arial" w:cs="Arial"/>
          <w:szCs w:val="22"/>
        </w:rPr>
        <w:t xml:space="preserve">ommittee to give, as part of their annual opinion, an assurance about the management and quality assurance of data provided to </w:t>
      </w:r>
      <w:r>
        <w:rPr>
          <w:rFonts w:ascii="Arial" w:hAnsi="Arial" w:cs="Arial"/>
          <w:szCs w:val="22"/>
        </w:rPr>
        <w:t xml:space="preserve">the </w:t>
      </w:r>
      <w:r w:rsidRPr="00FE4C77">
        <w:rPr>
          <w:rFonts w:ascii="Arial" w:hAnsi="Arial" w:cs="Arial"/>
          <w:szCs w:val="22"/>
        </w:rPr>
        <w:t>Higher Education Statistics Agency</w:t>
      </w:r>
      <w:r>
        <w:rPr>
          <w:rFonts w:ascii="Arial" w:hAnsi="Arial" w:cs="Arial"/>
          <w:szCs w:val="22"/>
        </w:rPr>
        <w:t xml:space="preserve"> (</w:t>
      </w:r>
      <w:r w:rsidRPr="00FE4C77">
        <w:rPr>
          <w:rFonts w:ascii="Arial" w:hAnsi="Arial" w:cs="Arial"/>
          <w:szCs w:val="22"/>
        </w:rPr>
        <w:t xml:space="preserve">HESA), the </w:t>
      </w:r>
      <w:r>
        <w:rPr>
          <w:rFonts w:ascii="Arial" w:hAnsi="Arial" w:cs="Arial"/>
          <w:szCs w:val="22"/>
        </w:rPr>
        <w:t>Office for Students (</w:t>
      </w:r>
      <w:r w:rsidRPr="00FE4C77">
        <w:rPr>
          <w:rFonts w:ascii="Arial" w:hAnsi="Arial" w:cs="Arial"/>
          <w:szCs w:val="22"/>
        </w:rPr>
        <w:t>OfS</w:t>
      </w:r>
      <w:r>
        <w:rPr>
          <w:rFonts w:ascii="Arial" w:hAnsi="Arial" w:cs="Arial"/>
          <w:szCs w:val="22"/>
        </w:rPr>
        <w:t>)</w:t>
      </w:r>
      <w:r w:rsidRPr="00FE4C77">
        <w:rPr>
          <w:rFonts w:ascii="Arial" w:hAnsi="Arial" w:cs="Arial"/>
          <w:szCs w:val="22"/>
        </w:rPr>
        <w:t>, Research England and other bodies.</w:t>
      </w:r>
    </w:p>
    <w:p w14:paraId="5FD465DE" w14:textId="77777777" w:rsidR="008C35C8" w:rsidRPr="00DF0019" w:rsidRDefault="008C35C8" w:rsidP="008C35C8">
      <w:pPr>
        <w:pStyle w:val="Heading1"/>
      </w:pPr>
      <w:bookmarkStart w:id="2" w:name="_Toc70678986"/>
      <w:r>
        <w:t>2</w:t>
      </w:r>
      <w:r>
        <w:tab/>
      </w:r>
      <w:r w:rsidRPr="00DF0019">
        <w:t>Purpose</w:t>
      </w:r>
      <w:bookmarkEnd w:id="2"/>
    </w:p>
    <w:p w14:paraId="5FD465DF" w14:textId="01BDF837" w:rsidR="00B930B3" w:rsidRDefault="008836AA" w:rsidP="000F6B37">
      <w:pPr>
        <w:tabs>
          <w:tab w:val="left" w:pos="426"/>
        </w:tabs>
        <w:spacing w:after="120"/>
        <w:rPr>
          <w:rFonts w:ascii="Arial" w:hAnsi="Arial" w:cs="Arial"/>
          <w:szCs w:val="22"/>
        </w:rPr>
      </w:pPr>
      <w:r w:rsidRPr="008836AA">
        <w:rPr>
          <w:rFonts w:ascii="Arial" w:hAnsi="Arial" w:cs="Arial"/>
          <w:szCs w:val="22"/>
        </w:rPr>
        <w:t xml:space="preserve">The University needs timely, accurate and reliable data in order to manage activities and meet </w:t>
      </w:r>
      <w:r w:rsidR="00075609">
        <w:rPr>
          <w:rFonts w:ascii="Arial" w:hAnsi="Arial" w:cs="Arial"/>
          <w:szCs w:val="22"/>
        </w:rPr>
        <w:t xml:space="preserve">both </w:t>
      </w:r>
      <w:r w:rsidRPr="008836AA">
        <w:rPr>
          <w:rFonts w:ascii="Arial" w:hAnsi="Arial" w:cs="Arial"/>
          <w:szCs w:val="22"/>
        </w:rPr>
        <w:t>internal and external requirements to demonstrate accountability through accurate reporting</w:t>
      </w:r>
      <w:r>
        <w:rPr>
          <w:rFonts w:ascii="Arial" w:hAnsi="Arial" w:cs="Arial"/>
          <w:szCs w:val="22"/>
        </w:rPr>
        <w:t>.</w:t>
      </w:r>
    </w:p>
    <w:p w14:paraId="5FD465E0" w14:textId="38E61290" w:rsidR="00B930B3" w:rsidRDefault="008836AA" w:rsidP="008836AA">
      <w:pPr>
        <w:tabs>
          <w:tab w:val="left" w:pos="426"/>
        </w:tabs>
        <w:spacing w:after="120"/>
        <w:rPr>
          <w:rFonts w:ascii="Arial" w:hAnsi="Arial" w:cs="Arial"/>
          <w:szCs w:val="22"/>
        </w:rPr>
      </w:pPr>
      <w:r w:rsidRPr="001E1680">
        <w:rPr>
          <w:rFonts w:ascii="Arial" w:hAnsi="Arial" w:cs="Arial"/>
          <w:szCs w:val="22"/>
        </w:rPr>
        <w:t xml:space="preserve">The University has a data quality and data assurance policy approved by Council to ensure the quality of data that it produces to meet internal and external needs. The University’s current policy is available at </w:t>
      </w:r>
      <w:hyperlink r:id="rId12" w:history="1">
        <w:r w:rsidR="001E1680" w:rsidRPr="00F47ACF">
          <w:rPr>
            <w:rStyle w:val="Hyperlink"/>
            <w:rFonts w:ascii="Arial" w:hAnsi="Arial" w:cs="Arial"/>
          </w:rPr>
          <w:t>https://governance.admin.ox.ac.uk/data-quality</w:t>
        </w:r>
      </w:hyperlink>
      <w:r w:rsidRPr="001E1680">
        <w:rPr>
          <w:rFonts w:ascii="Arial" w:hAnsi="Arial" w:cs="Arial"/>
          <w:szCs w:val="22"/>
        </w:rPr>
        <w:t>.</w:t>
      </w:r>
    </w:p>
    <w:p w14:paraId="78C95B98" w14:textId="0E24DE84" w:rsidR="00075609" w:rsidRPr="00FE4C77" w:rsidRDefault="00E33671" w:rsidP="00075609">
      <w:pPr>
        <w:rPr>
          <w:rFonts w:ascii="Arial" w:hAnsi="Arial" w:cs="Arial"/>
          <w:szCs w:val="22"/>
        </w:rPr>
      </w:pPr>
      <w:r>
        <w:rPr>
          <w:rFonts w:ascii="Arial" w:hAnsi="Arial" w:cs="Arial"/>
          <w:szCs w:val="22"/>
        </w:rPr>
        <w:t>The purpose of the Finance</w:t>
      </w:r>
      <w:r w:rsidRPr="00E33671">
        <w:rPr>
          <w:rFonts w:ascii="Arial" w:hAnsi="Arial" w:cs="Arial"/>
          <w:szCs w:val="22"/>
        </w:rPr>
        <w:t xml:space="preserve"> Data Quality Policy</w:t>
      </w:r>
      <w:r>
        <w:rPr>
          <w:rFonts w:ascii="Arial" w:hAnsi="Arial" w:cs="Arial"/>
          <w:szCs w:val="22"/>
        </w:rPr>
        <w:t xml:space="preserve"> is to</w:t>
      </w:r>
      <w:r w:rsidRPr="00E33671">
        <w:rPr>
          <w:rFonts w:ascii="Arial" w:hAnsi="Arial" w:cs="Arial"/>
          <w:szCs w:val="22"/>
        </w:rPr>
        <w:t xml:space="preserve"> support the </w:t>
      </w:r>
      <w:r>
        <w:rPr>
          <w:rFonts w:ascii="Arial" w:hAnsi="Arial" w:cs="Arial"/>
          <w:szCs w:val="22"/>
        </w:rPr>
        <w:t xml:space="preserve">wider </w:t>
      </w:r>
      <w:r w:rsidRPr="00E33671">
        <w:rPr>
          <w:rFonts w:ascii="Arial" w:hAnsi="Arial" w:cs="Arial"/>
          <w:szCs w:val="22"/>
        </w:rPr>
        <w:t xml:space="preserve">University policy in relation to </w:t>
      </w:r>
      <w:r w:rsidR="001E48F3">
        <w:rPr>
          <w:rFonts w:ascii="Arial" w:hAnsi="Arial" w:cs="Arial"/>
          <w:szCs w:val="22"/>
        </w:rPr>
        <w:t xml:space="preserve">the </w:t>
      </w:r>
      <w:r>
        <w:rPr>
          <w:rFonts w:ascii="Arial" w:hAnsi="Arial" w:cs="Arial"/>
          <w:szCs w:val="22"/>
        </w:rPr>
        <w:t>financial data</w:t>
      </w:r>
      <w:r w:rsidR="001E48F3">
        <w:rPr>
          <w:rFonts w:ascii="Arial" w:hAnsi="Arial" w:cs="Arial"/>
          <w:szCs w:val="22"/>
        </w:rPr>
        <w:t xml:space="preserve"> used to compile statutory returns</w:t>
      </w:r>
      <w:r w:rsidR="00075609" w:rsidRPr="00075609">
        <w:rPr>
          <w:rFonts w:ascii="Arial" w:hAnsi="Arial" w:cs="Arial"/>
          <w:szCs w:val="22"/>
        </w:rPr>
        <w:t xml:space="preserve"> </w:t>
      </w:r>
      <w:r w:rsidR="00075609">
        <w:rPr>
          <w:rFonts w:ascii="Arial" w:hAnsi="Arial" w:cs="Arial"/>
          <w:szCs w:val="22"/>
        </w:rPr>
        <w:t>including:</w:t>
      </w:r>
    </w:p>
    <w:p w14:paraId="5FCBD465" w14:textId="35B51293" w:rsidR="00075609" w:rsidRPr="00FE4C77" w:rsidRDefault="001E1680" w:rsidP="00075609">
      <w:pPr>
        <w:rPr>
          <w:rFonts w:ascii="Arial" w:hAnsi="Arial" w:cs="Arial"/>
          <w:szCs w:val="22"/>
        </w:rPr>
      </w:pPr>
      <w:r>
        <w:rPr>
          <w:rFonts w:ascii="Arial" w:hAnsi="Arial" w:cs="Arial"/>
          <w:szCs w:val="22"/>
        </w:rPr>
        <w:t>•</w:t>
      </w:r>
      <w:r>
        <w:rPr>
          <w:rFonts w:ascii="Arial" w:hAnsi="Arial" w:cs="Arial"/>
          <w:szCs w:val="22"/>
        </w:rPr>
        <w:tab/>
        <w:t>OfS</w:t>
      </w:r>
      <w:r w:rsidR="00075609" w:rsidRPr="00FE4C77">
        <w:rPr>
          <w:rFonts w:ascii="Arial" w:hAnsi="Arial" w:cs="Arial"/>
          <w:szCs w:val="22"/>
        </w:rPr>
        <w:t xml:space="preserve"> Financ</w:t>
      </w:r>
      <w:r w:rsidR="002F6954">
        <w:rPr>
          <w:rFonts w:ascii="Arial" w:hAnsi="Arial" w:cs="Arial"/>
          <w:szCs w:val="22"/>
        </w:rPr>
        <w:t>ial Return</w:t>
      </w:r>
    </w:p>
    <w:p w14:paraId="7F54789F" w14:textId="44637F59" w:rsidR="00075609" w:rsidRDefault="00075609" w:rsidP="00075609">
      <w:pPr>
        <w:rPr>
          <w:rFonts w:ascii="Arial" w:hAnsi="Arial" w:cs="Arial"/>
          <w:szCs w:val="22"/>
        </w:rPr>
      </w:pPr>
      <w:r w:rsidRPr="00FE4C77">
        <w:rPr>
          <w:rFonts w:ascii="Arial" w:hAnsi="Arial" w:cs="Arial"/>
          <w:szCs w:val="22"/>
        </w:rPr>
        <w:t>•</w:t>
      </w:r>
      <w:r w:rsidRPr="00FE4C77">
        <w:rPr>
          <w:rFonts w:ascii="Arial" w:hAnsi="Arial" w:cs="Arial"/>
          <w:szCs w:val="22"/>
        </w:rPr>
        <w:tab/>
        <w:t>Financial Statements</w:t>
      </w:r>
    </w:p>
    <w:p w14:paraId="5323EC03" w14:textId="208DAF87" w:rsidR="00241C9B" w:rsidRDefault="00241C9B" w:rsidP="00241C9B">
      <w:pPr>
        <w:rPr>
          <w:rFonts w:ascii="Arial" w:hAnsi="Arial" w:cs="Arial"/>
          <w:szCs w:val="22"/>
        </w:rPr>
      </w:pPr>
      <w:r w:rsidRPr="00FE4C77">
        <w:rPr>
          <w:rFonts w:ascii="Arial" w:hAnsi="Arial" w:cs="Arial"/>
          <w:szCs w:val="22"/>
        </w:rPr>
        <w:t>•</w:t>
      </w:r>
      <w:r w:rsidRPr="00FE4C77">
        <w:rPr>
          <w:rFonts w:ascii="Arial" w:hAnsi="Arial" w:cs="Arial"/>
          <w:szCs w:val="22"/>
        </w:rPr>
        <w:tab/>
      </w:r>
      <w:r w:rsidR="00DA2F54">
        <w:rPr>
          <w:rFonts w:ascii="Arial" w:hAnsi="Arial" w:cs="Arial"/>
          <w:szCs w:val="22"/>
        </w:rPr>
        <w:t>Research g</w:t>
      </w:r>
      <w:r>
        <w:rPr>
          <w:rFonts w:ascii="Arial" w:hAnsi="Arial" w:cs="Arial"/>
          <w:szCs w:val="22"/>
        </w:rPr>
        <w:t>rant return</w:t>
      </w:r>
      <w:r w:rsidRPr="00FE4C77">
        <w:rPr>
          <w:rFonts w:ascii="Arial" w:hAnsi="Arial" w:cs="Arial"/>
          <w:szCs w:val="22"/>
        </w:rPr>
        <w:t>s</w:t>
      </w:r>
    </w:p>
    <w:p w14:paraId="66A4563C" w14:textId="77777777" w:rsidR="00075609" w:rsidRPr="00FE4C77" w:rsidRDefault="00075609" w:rsidP="00075609">
      <w:pPr>
        <w:rPr>
          <w:rFonts w:ascii="Arial" w:hAnsi="Arial" w:cs="Arial"/>
          <w:szCs w:val="22"/>
        </w:rPr>
      </w:pPr>
      <w:r w:rsidRPr="00FE4C77">
        <w:rPr>
          <w:rFonts w:ascii="Arial" w:hAnsi="Arial" w:cs="Arial"/>
          <w:szCs w:val="22"/>
        </w:rPr>
        <w:t>•</w:t>
      </w:r>
      <w:r w:rsidRPr="00FE4C77">
        <w:rPr>
          <w:rFonts w:ascii="Arial" w:hAnsi="Arial" w:cs="Arial"/>
          <w:szCs w:val="22"/>
        </w:rPr>
        <w:tab/>
        <w:t>TRAC</w:t>
      </w:r>
    </w:p>
    <w:p w14:paraId="498D19FB" w14:textId="25181CB2" w:rsidR="00075609" w:rsidRPr="00FE4C77" w:rsidRDefault="002D7E74" w:rsidP="00075609">
      <w:pPr>
        <w:rPr>
          <w:rFonts w:ascii="Arial" w:hAnsi="Arial" w:cs="Arial"/>
          <w:szCs w:val="22"/>
        </w:rPr>
      </w:pPr>
      <w:r>
        <w:rPr>
          <w:rFonts w:ascii="Arial" w:hAnsi="Arial" w:cs="Arial"/>
          <w:szCs w:val="22"/>
        </w:rPr>
        <w:t>•</w:t>
      </w:r>
      <w:r>
        <w:rPr>
          <w:rFonts w:ascii="Arial" w:hAnsi="Arial" w:cs="Arial"/>
          <w:szCs w:val="22"/>
        </w:rPr>
        <w:tab/>
        <w:t>Various returns to HMRC</w:t>
      </w:r>
    </w:p>
    <w:p w14:paraId="054454CD" w14:textId="3E88592D" w:rsidR="008836AA" w:rsidRDefault="00075609" w:rsidP="00075609">
      <w:pPr>
        <w:rPr>
          <w:rFonts w:ascii="Arial" w:hAnsi="Arial" w:cs="Arial"/>
          <w:szCs w:val="22"/>
        </w:rPr>
      </w:pPr>
      <w:r w:rsidRPr="00FE4C77">
        <w:rPr>
          <w:rFonts w:ascii="Arial" w:hAnsi="Arial" w:cs="Arial"/>
          <w:szCs w:val="22"/>
        </w:rPr>
        <w:t>•</w:t>
      </w:r>
      <w:r w:rsidRPr="00FE4C77">
        <w:rPr>
          <w:rFonts w:ascii="Arial" w:hAnsi="Arial" w:cs="Arial"/>
          <w:szCs w:val="22"/>
        </w:rPr>
        <w:tab/>
        <w:t>Any other ret</w:t>
      </w:r>
      <w:r>
        <w:rPr>
          <w:rFonts w:ascii="Arial" w:hAnsi="Arial" w:cs="Arial"/>
          <w:szCs w:val="22"/>
        </w:rPr>
        <w:t>urns with financial information</w:t>
      </w:r>
    </w:p>
    <w:p w14:paraId="5FD465E1" w14:textId="77777777" w:rsidR="00E37E84" w:rsidRDefault="009827D5" w:rsidP="00BF0DF7">
      <w:pPr>
        <w:pStyle w:val="Heading1"/>
      </w:pPr>
      <w:bookmarkStart w:id="3" w:name="_Toc70678987"/>
      <w:r>
        <w:t>3</w:t>
      </w:r>
      <w:r w:rsidR="00E37E84">
        <w:tab/>
        <w:t>Scope</w:t>
      </w:r>
      <w:bookmarkEnd w:id="3"/>
    </w:p>
    <w:p w14:paraId="7AE2C0AA" w14:textId="7C2389EE" w:rsidR="001E48F3" w:rsidRDefault="001E48F3" w:rsidP="00E33671">
      <w:pPr>
        <w:tabs>
          <w:tab w:val="left" w:pos="426"/>
        </w:tabs>
        <w:spacing w:after="160"/>
        <w:rPr>
          <w:rFonts w:ascii="Arial" w:hAnsi="Arial" w:cs="Arial"/>
          <w:szCs w:val="22"/>
        </w:rPr>
      </w:pPr>
      <w:r w:rsidRPr="00E33671">
        <w:rPr>
          <w:rFonts w:ascii="Arial" w:hAnsi="Arial" w:cs="Arial"/>
          <w:szCs w:val="22"/>
        </w:rPr>
        <w:t>The scope of this policy includes</w:t>
      </w:r>
      <w:r w:rsidR="001E1680">
        <w:rPr>
          <w:rFonts w:ascii="Arial" w:hAnsi="Arial" w:cs="Arial"/>
          <w:szCs w:val="22"/>
        </w:rPr>
        <w:t xml:space="preserve"> financial data provided to </w:t>
      </w:r>
      <w:r w:rsidRPr="001E48F3">
        <w:rPr>
          <w:rFonts w:ascii="Arial" w:hAnsi="Arial" w:cs="Arial"/>
          <w:szCs w:val="22"/>
        </w:rPr>
        <w:t xml:space="preserve">the </w:t>
      </w:r>
      <w:r w:rsidR="00FE4C77">
        <w:rPr>
          <w:rFonts w:ascii="Arial" w:hAnsi="Arial" w:cs="Arial"/>
          <w:szCs w:val="22"/>
        </w:rPr>
        <w:t>OfS</w:t>
      </w:r>
      <w:r w:rsidRPr="001E48F3">
        <w:rPr>
          <w:rFonts w:ascii="Arial" w:hAnsi="Arial" w:cs="Arial"/>
          <w:szCs w:val="22"/>
        </w:rPr>
        <w:t xml:space="preserve">, Research England and other </w:t>
      </w:r>
      <w:r>
        <w:rPr>
          <w:rFonts w:ascii="Arial" w:hAnsi="Arial" w:cs="Arial"/>
          <w:szCs w:val="22"/>
        </w:rPr>
        <w:t xml:space="preserve">government </w:t>
      </w:r>
      <w:r w:rsidRPr="001E48F3">
        <w:rPr>
          <w:rFonts w:ascii="Arial" w:hAnsi="Arial" w:cs="Arial"/>
          <w:szCs w:val="22"/>
        </w:rPr>
        <w:t>bodies</w:t>
      </w:r>
      <w:r>
        <w:rPr>
          <w:rFonts w:ascii="Arial" w:hAnsi="Arial" w:cs="Arial"/>
          <w:szCs w:val="22"/>
        </w:rPr>
        <w:t>.</w:t>
      </w:r>
    </w:p>
    <w:p w14:paraId="5FD465E2" w14:textId="2CA60D34" w:rsidR="00B930B3" w:rsidRDefault="00E33671" w:rsidP="00E33671">
      <w:pPr>
        <w:tabs>
          <w:tab w:val="left" w:pos="426"/>
        </w:tabs>
        <w:spacing w:after="160"/>
        <w:rPr>
          <w:rFonts w:ascii="Arial" w:hAnsi="Arial" w:cs="Arial"/>
          <w:szCs w:val="22"/>
        </w:rPr>
      </w:pPr>
      <w:r w:rsidRPr="00E33671">
        <w:rPr>
          <w:rFonts w:ascii="Arial" w:hAnsi="Arial" w:cs="Arial"/>
          <w:szCs w:val="22"/>
        </w:rPr>
        <w:t>This policy will inform an annual process of assuring data quality overseen by the Data Assurance Group,</w:t>
      </w:r>
    </w:p>
    <w:p w14:paraId="5FD465E4" w14:textId="77777777" w:rsidR="003D0627" w:rsidRPr="00E56C6B" w:rsidRDefault="00214EEA" w:rsidP="00214EEA">
      <w:pPr>
        <w:pStyle w:val="Heading1"/>
        <w:ind w:left="567" w:hanging="567"/>
      </w:pPr>
      <w:bookmarkStart w:id="4" w:name="_Toc70678988"/>
      <w:r>
        <w:t>4</w:t>
      </w:r>
      <w:r>
        <w:tab/>
      </w:r>
      <w:r w:rsidR="003D0627" w:rsidRPr="00D3657D">
        <w:t>Policy</w:t>
      </w:r>
      <w:r w:rsidR="003D0627">
        <w:t xml:space="preserve"> objectives</w:t>
      </w:r>
      <w:bookmarkEnd w:id="4"/>
    </w:p>
    <w:p w14:paraId="5E16BF7E" w14:textId="2AECA1E0" w:rsidR="002F6954" w:rsidRDefault="001E48F3" w:rsidP="001E48F3">
      <w:pPr>
        <w:rPr>
          <w:rFonts w:ascii="Arial" w:hAnsi="Arial" w:cs="Arial"/>
          <w:szCs w:val="22"/>
        </w:rPr>
      </w:pPr>
      <w:r>
        <w:rPr>
          <w:rFonts w:ascii="Arial" w:hAnsi="Arial" w:cs="Arial"/>
          <w:szCs w:val="22"/>
        </w:rPr>
        <w:t>The objective of this policy is to provide assurance over the quality of financial data which is reported to external b</w:t>
      </w:r>
      <w:r w:rsidR="00FE4C77">
        <w:rPr>
          <w:rFonts w:ascii="Arial" w:hAnsi="Arial" w:cs="Arial"/>
          <w:szCs w:val="22"/>
        </w:rPr>
        <w:t>odies</w:t>
      </w:r>
      <w:r w:rsidR="002F6954">
        <w:rPr>
          <w:rFonts w:ascii="Arial" w:hAnsi="Arial" w:cs="Arial"/>
          <w:szCs w:val="22"/>
        </w:rPr>
        <w:t xml:space="preserve"> through:</w:t>
      </w:r>
    </w:p>
    <w:p w14:paraId="0AFF742E" w14:textId="45A1C881" w:rsidR="002F6954" w:rsidRDefault="001E48F3" w:rsidP="00241C9B">
      <w:pPr>
        <w:pStyle w:val="ListParagraph"/>
        <w:numPr>
          <w:ilvl w:val="0"/>
          <w:numId w:val="25"/>
        </w:numPr>
        <w:rPr>
          <w:rFonts w:ascii="Arial" w:hAnsi="Arial" w:cs="Arial"/>
          <w:szCs w:val="22"/>
        </w:rPr>
      </w:pPr>
      <w:r w:rsidRPr="00241C9B">
        <w:rPr>
          <w:rFonts w:ascii="Arial" w:hAnsi="Arial" w:cs="Arial"/>
          <w:szCs w:val="22"/>
        </w:rPr>
        <w:t>assess</w:t>
      </w:r>
      <w:r w:rsidR="002F6954">
        <w:rPr>
          <w:rFonts w:ascii="Arial" w:hAnsi="Arial" w:cs="Arial"/>
          <w:szCs w:val="22"/>
        </w:rPr>
        <w:t>ing</w:t>
      </w:r>
      <w:r w:rsidRPr="00241C9B">
        <w:rPr>
          <w:rFonts w:ascii="Arial" w:hAnsi="Arial" w:cs="Arial"/>
          <w:szCs w:val="22"/>
        </w:rPr>
        <w:t xml:space="preserve"> the risks and co</w:t>
      </w:r>
      <w:r w:rsidR="00FE4C77" w:rsidRPr="00241C9B">
        <w:rPr>
          <w:rFonts w:ascii="Arial" w:hAnsi="Arial" w:cs="Arial"/>
          <w:szCs w:val="22"/>
        </w:rPr>
        <w:t xml:space="preserve">nsequences of poor data quality and </w:t>
      </w:r>
    </w:p>
    <w:p w14:paraId="5FD465E6" w14:textId="3B319998" w:rsidR="00B930B3" w:rsidRPr="00241C9B" w:rsidRDefault="00FE4C77" w:rsidP="00241C9B">
      <w:pPr>
        <w:pStyle w:val="ListParagraph"/>
        <w:numPr>
          <w:ilvl w:val="0"/>
          <w:numId w:val="25"/>
        </w:numPr>
        <w:rPr>
          <w:rFonts w:ascii="Arial" w:hAnsi="Arial" w:cs="Arial"/>
          <w:szCs w:val="22"/>
        </w:rPr>
      </w:pPr>
      <w:r w:rsidRPr="00241C9B">
        <w:rPr>
          <w:rFonts w:ascii="Arial" w:hAnsi="Arial" w:cs="Arial"/>
          <w:szCs w:val="22"/>
        </w:rPr>
        <w:t>identify</w:t>
      </w:r>
      <w:r w:rsidR="002F6954">
        <w:rPr>
          <w:rFonts w:ascii="Arial" w:hAnsi="Arial" w:cs="Arial"/>
          <w:szCs w:val="22"/>
        </w:rPr>
        <w:t>ing appropriate and proportionate</w:t>
      </w:r>
      <w:r w:rsidRPr="00241C9B">
        <w:rPr>
          <w:rFonts w:ascii="Arial" w:hAnsi="Arial" w:cs="Arial"/>
          <w:szCs w:val="22"/>
        </w:rPr>
        <w:t xml:space="preserve"> measures to mitigate those risks.</w:t>
      </w:r>
    </w:p>
    <w:p w14:paraId="5FD465E7" w14:textId="77777777" w:rsidR="00E37E84" w:rsidRDefault="003D0627" w:rsidP="00214EEA">
      <w:pPr>
        <w:pStyle w:val="Heading1"/>
        <w:ind w:left="567" w:hanging="567"/>
      </w:pPr>
      <w:bookmarkStart w:id="5" w:name="_Toc70678989"/>
      <w:r>
        <w:t>5</w:t>
      </w:r>
      <w:r w:rsidR="00214EEA">
        <w:tab/>
      </w:r>
      <w:r w:rsidR="00E37E84">
        <w:t>Risks</w:t>
      </w:r>
      <w:bookmarkEnd w:id="5"/>
    </w:p>
    <w:p w14:paraId="64DE052A" w14:textId="21AA124C" w:rsidR="00FD7FA7" w:rsidRPr="00FD7FA7" w:rsidRDefault="00FD7FA7" w:rsidP="00FD7FA7">
      <w:pPr>
        <w:tabs>
          <w:tab w:val="left" w:pos="426"/>
        </w:tabs>
        <w:spacing w:after="120"/>
        <w:rPr>
          <w:rFonts w:ascii="Arial" w:hAnsi="Arial" w:cs="Arial"/>
          <w:szCs w:val="22"/>
        </w:rPr>
      </w:pPr>
      <w:r w:rsidRPr="00FD7FA7">
        <w:rPr>
          <w:rFonts w:ascii="Arial" w:hAnsi="Arial" w:cs="Arial"/>
          <w:szCs w:val="22"/>
        </w:rPr>
        <w:t>Key risks relating to data are as follows:</w:t>
      </w:r>
    </w:p>
    <w:p w14:paraId="347919C4" w14:textId="77777777" w:rsidR="00FD7FA7" w:rsidRPr="00FD7FA7" w:rsidRDefault="00FD7FA7" w:rsidP="00FD7FA7">
      <w:pPr>
        <w:tabs>
          <w:tab w:val="left" w:pos="426"/>
        </w:tabs>
        <w:spacing w:after="120"/>
        <w:rPr>
          <w:rFonts w:ascii="Arial" w:hAnsi="Arial" w:cs="Arial"/>
          <w:szCs w:val="22"/>
        </w:rPr>
      </w:pPr>
      <w:r w:rsidRPr="00FD7FA7">
        <w:rPr>
          <w:rFonts w:ascii="Arial" w:hAnsi="Arial" w:cs="Arial"/>
          <w:szCs w:val="22"/>
        </w:rPr>
        <w:t>•</w:t>
      </w:r>
      <w:r w:rsidRPr="00FD7FA7">
        <w:rPr>
          <w:rFonts w:ascii="Arial" w:hAnsi="Arial" w:cs="Arial"/>
          <w:szCs w:val="22"/>
        </w:rPr>
        <w:tab/>
        <w:t>Mandatory conditions of grant could be breached.</w:t>
      </w:r>
    </w:p>
    <w:p w14:paraId="24DE3132" w14:textId="77777777" w:rsidR="00FD7FA7" w:rsidRPr="00FD7FA7" w:rsidRDefault="00FD7FA7" w:rsidP="00FD7FA7">
      <w:pPr>
        <w:tabs>
          <w:tab w:val="left" w:pos="426"/>
        </w:tabs>
        <w:spacing w:after="120"/>
        <w:rPr>
          <w:rFonts w:ascii="Arial" w:hAnsi="Arial" w:cs="Arial"/>
          <w:szCs w:val="22"/>
        </w:rPr>
      </w:pPr>
      <w:r w:rsidRPr="00FD7FA7">
        <w:rPr>
          <w:rFonts w:ascii="Arial" w:hAnsi="Arial" w:cs="Arial"/>
          <w:szCs w:val="22"/>
        </w:rPr>
        <w:t>•</w:t>
      </w:r>
      <w:r w:rsidRPr="00FD7FA7">
        <w:rPr>
          <w:rFonts w:ascii="Arial" w:hAnsi="Arial" w:cs="Arial"/>
          <w:szCs w:val="22"/>
        </w:rPr>
        <w:tab/>
        <w:t>Data could give misleading external and internal impressions of institutional performance in teaching and research.</w:t>
      </w:r>
    </w:p>
    <w:p w14:paraId="7B121F75" w14:textId="77777777" w:rsidR="00FD7FA7" w:rsidRPr="00FD7FA7" w:rsidRDefault="00FD7FA7" w:rsidP="00FD7FA7">
      <w:pPr>
        <w:tabs>
          <w:tab w:val="left" w:pos="426"/>
        </w:tabs>
        <w:spacing w:after="120"/>
        <w:rPr>
          <w:rFonts w:ascii="Arial" w:hAnsi="Arial" w:cs="Arial"/>
          <w:szCs w:val="22"/>
        </w:rPr>
      </w:pPr>
      <w:r w:rsidRPr="00FD7FA7">
        <w:rPr>
          <w:rFonts w:ascii="Arial" w:hAnsi="Arial" w:cs="Arial"/>
          <w:szCs w:val="22"/>
        </w:rPr>
        <w:t>•</w:t>
      </w:r>
      <w:r w:rsidRPr="00FD7FA7">
        <w:rPr>
          <w:rFonts w:ascii="Arial" w:hAnsi="Arial" w:cs="Arial"/>
          <w:szCs w:val="22"/>
        </w:rPr>
        <w:tab/>
        <w:t>Poor data could result in inappropriate decision-making across the institution.</w:t>
      </w:r>
    </w:p>
    <w:p w14:paraId="014DB29C" w14:textId="3C9D7741" w:rsidR="00FD7FA7" w:rsidRPr="00FD7FA7" w:rsidRDefault="00FD7FA7" w:rsidP="00FD7FA7">
      <w:pPr>
        <w:tabs>
          <w:tab w:val="left" w:pos="426"/>
        </w:tabs>
        <w:spacing w:after="120"/>
        <w:rPr>
          <w:rFonts w:ascii="Arial" w:hAnsi="Arial" w:cs="Arial"/>
          <w:szCs w:val="22"/>
        </w:rPr>
      </w:pPr>
      <w:r>
        <w:rPr>
          <w:rFonts w:ascii="Arial" w:hAnsi="Arial" w:cs="Arial"/>
          <w:szCs w:val="22"/>
        </w:rPr>
        <w:lastRenderedPageBreak/>
        <w:t>•</w:t>
      </w:r>
      <w:r>
        <w:rPr>
          <w:rFonts w:ascii="Arial" w:hAnsi="Arial" w:cs="Arial"/>
          <w:szCs w:val="22"/>
        </w:rPr>
        <w:tab/>
        <w:t>Inaccurate data could lead to</w:t>
      </w:r>
      <w:r w:rsidRPr="00FD7FA7">
        <w:rPr>
          <w:rFonts w:ascii="Arial" w:hAnsi="Arial" w:cs="Arial"/>
          <w:szCs w:val="22"/>
        </w:rPr>
        <w:t xml:space="preserve"> reputational damage with public and private funders, other stakeholders and the</w:t>
      </w:r>
      <w:r>
        <w:rPr>
          <w:rFonts w:ascii="Arial" w:hAnsi="Arial" w:cs="Arial"/>
          <w:szCs w:val="22"/>
        </w:rPr>
        <w:t xml:space="preserve"> general</w:t>
      </w:r>
      <w:r w:rsidRPr="00FD7FA7">
        <w:rPr>
          <w:rFonts w:ascii="Arial" w:hAnsi="Arial" w:cs="Arial"/>
          <w:szCs w:val="22"/>
        </w:rPr>
        <w:t xml:space="preserve"> public. </w:t>
      </w:r>
    </w:p>
    <w:p w14:paraId="6B794BBC" w14:textId="1E774564" w:rsidR="002F6954" w:rsidRDefault="00FD7FA7" w:rsidP="00FD7FA7">
      <w:pPr>
        <w:tabs>
          <w:tab w:val="left" w:pos="426"/>
        </w:tabs>
        <w:spacing w:after="120"/>
        <w:rPr>
          <w:rFonts w:ascii="Arial" w:hAnsi="Arial" w:cs="Arial"/>
          <w:szCs w:val="22"/>
        </w:rPr>
      </w:pPr>
      <w:r w:rsidRPr="00FD7FA7">
        <w:rPr>
          <w:rFonts w:ascii="Arial" w:hAnsi="Arial" w:cs="Arial"/>
          <w:szCs w:val="22"/>
        </w:rPr>
        <w:t>•</w:t>
      </w:r>
      <w:r w:rsidRPr="00FD7FA7">
        <w:rPr>
          <w:rFonts w:ascii="Arial" w:hAnsi="Arial" w:cs="Arial"/>
          <w:szCs w:val="22"/>
        </w:rPr>
        <w:tab/>
      </w:r>
      <w:r w:rsidR="002F6954">
        <w:rPr>
          <w:rFonts w:ascii="Arial" w:hAnsi="Arial" w:cs="Arial"/>
          <w:szCs w:val="22"/>
        </w:rPr>
        <w:t>I</w:t>
      </w:r>
      <w:r w:rsidRPr="00FD7FA7">
        <w:rPr>
          <w:rFonts w:ascii="Arial" w:hAnsi="Arial" w:cs="Arial"/>
          <w:szCs w:val="22"/>
        </w:rPr>
        <w:t>na</w:t>
      </w:r>
      <w:r w:rsidR="002F6954">
        <w:rPr>
          <w:rFonts w:ascii="Arial" w:hAnsi="Arial" w:cs="Arial"/>
          <w:szCs w:val="22"/>
        </w:rPr>
        <w:t>ccurate</w:t>
      </w:r>
      <w:r w:rsidRPr="00FD7FA7">
        <w:rPr>
          <w:rFonts w:ascii="Arial" w:hAnsi="Arial" w:cs="Arial"/>
          <w:szCs w:val="22"/>
        </w:rPr>
        <w:t xml:space="preserve"> reporting to sponsors of research, </w:t>
      </w:r>
      <w:r w:rsidR="002F6954">
        <w:rPr>
          <w:rFonts w:ascii="Arial" w:hAnsi="Arial" w:cs="Arial"/>
          <w:szCs w:val="22"/>
        </w:rPr>
        <w:t xml:space="preserve">could result in the following: </w:t>
      </w:r>
    </w:p>
    <w:p w14:paraId="39D6DE86" w14:textId="58E34F98" w:rsidR="002F6954" w:rsidRDefault="002F6954" w:rsidP="00241C9B">
      <w:pPr>
        <w:pStyle w:val="ListParagraph"/>
        <w:numPr>
          <w:ilvl w:val="0"/>
          <w:numId w:val="26"/>
        </w:numPr>
        <w:tabs>
          <w:tab w:val="left" w:pos="426"/>
        </w:tabs>
        <w:spacing w:after="120"/>
        <w:rPr>
          <w:rFonts w:ascii="Arial" w:hAnsi="Arial" w:cs="Arial"/>
          <w:szCs w:val="22"/>
        </w:rPr>
      </w:pPr>
      <w:r>
        <w:rPr>
          <w:rFonts w:ascii="Arial" w:hAnsi="Arial" w:cs="Arial"/>
          <w:szCs w:val="22"/>
        </w:rPr>
        <w:t>u</w:t>
      </w:r>
      <w:r w:rsidRPr="002F6954">
        <w:rPr>
          <w:rFonts w:ascii="Arial" w:hAnsi="Arial" w:cs="Arial"/>
          <w:szCs w:val="22"/>
        </w:rPr>
        <w:t>nder-</w:t>
      </w:r>
      <w:r>
        <w:rPr>
          <w:rFonts w:ascii="Arial" w:hAnsi="Arial" w:cs="Arial"/>
          <w:szCs w:val="22"/>
        </w:rPr>
        <w:t xml:space="preserve"> or over-funding (with the latter leading to clawback of overpaid funds) </w:t>
      </w:r>
    </w:p>
    <w:p w14:paraId="774A0F52" w14:textId="2FF7B758" w:rsidR="002F6954" w:rsidRDefault="002F6954" w:rsidP="00241C9B">
      <w:pPr>
        <w:pStyle w:val="ListParagraph"/>
        <w:numPr>
          <w:ilvl w:val="0"/>
          <w:numId w:val="26"/>
        </w:numPr>
        <w:tabs>
          <w:tab w:val="left" w:pos="426"/>
        </w:tabs>
        <w:spacing w:after="120"/>
        <w:rPr>
          <w:rFonts w:ascii="Arial" w:hAnsi="Arial" w:cs="Arial"/>
          <w:szCs w:val="22"/>
        </w:rPr>
      </w:pPr>
      <w:r w:rsidRPr="00FD7FA7">
        <w:rPr>
          <w:rFonts w:ascii="Arial" w:hAnsi="Arial" w:cs="Arial"/>
          <w:szCs w:val="22"/>
        </w:rPr>
        <w:t>reduced future funding (holdback)</w:t>
      </w:r>
    </w:p>
    <w:p w14:paraId="4D417047" w14:textId="23715316" w:rsidR="002F6954" w:rsidRPr="00241C9B" w:rsidRDefault="002F6954" w:rsidP="00241C9B">
      <w:pPr>
        <w:pStyle w:val="ListParagraph"/>
        <w:numPr>
          <w:ilvl w:val="0"/>
          <w:numId w:val="26"/>
        </w:numPr>
        <w:tabs>
          <w:tab w:val="left" w:pos="426"/>
        </w:tabs>
        <w:spacing w:after="120"/>
        <w:rPr>
          <w:rFonts w:ascii="Arial" w:hAnsi="Arial" w:cs="Arial"/>
          <w:szCs w:val="22"/>
        </w:rPr>
      </w:pPr>
      <w:r w:rsidRPr="00424967">
        <w:rPr>
          <w:rFonts w:ascii="Arial" w:hAnsi="Arial" w:cs="Arial"/>
          <w:szCs w:val="22"/>
        </w:rPr>
        <w:t>financial penalties from funders</w:t>
      </w:r>
    </w:p>
    <w:p w14:paraId="1CC9BBC1" w14:textId="27D057EB" w:rsidR="00FD7FA7" w:rsidRPr="00241C9B" w:rsidRDefault="00FD7FA7" w:rsidP="00241C9B">
      <w:pPr>
        <w:pStyle w:val="ListParagraph"/>
        <w:numPr>
          <w:ilvl w:val="0"/>
          <w:numId w:val="26"/>
        </w:numPr>
        <w:tabs>
          <w:tab w:val="left" w:pos="426"/>
        </w:tabs>
        <w:spacing w:after="120"/>
        <w:rPr>
          <w:rFonts w:ascii="Arial" w:hAnsi="Arial" w:cs="Arial"/>
          <w:szCs w:val="22"/>
        </w:rPr>
      </w:pPr>
      <w:r w:rsidRPr="00241C9B">
        <w:rPr>
          <w:rFonts w:ascii="Arial" w:hAnsi="Arial" w:cs="Arial"/>
          <w:szCs w:val="22"/>
        </w:rPr>
        <w:t>reputational damage and diminished funding for research</w:t>
      </w:r>
    </w:p>
    <w:p w14:paraId="77ABCBA8" w14:textId="695FDB22" w:rsidR="00FF5304" w:rsidRDefault="00FF5304" w:rsidP="00FD7FA7">
      <w:pPr>
        <w:tabs>
          <w:tab w:val="left" w:pos="426"/>
        </w:tabs>
        <w:spacing w:after="120"/>
        <w:rPr>
          <w:rFonts w:ascii="Arial" w:hAnsi="Arial" w:cs="Arial"/>
          <w:szCs w:val="22"/>
        </w:rPr>
      </w:pPr>
      <w:r w:rsidRPr="00FD7FA7">
        <w:rPr>
          <w:rFonts w:ascii="Arial" w:hAnsi="Arial" w:cs="Arial"/>
          <w:szCs w:val="22"/>
        </w:rPr>
        <w:t>•</w:t>
      </w:r>
      <w:r w:rsidRPr="00FD7FA7">
        <w:rPr>
          <w:rFonts w:ascii="Arial" w:hAnsi="Arial" w:cs="Arial"/>
          <w:szCs w:val="22"/>
        </w:rPr>
        <w:tab/>
        <w:t xml:space="preserve">Inaccurate </w:t>
      </w:r>
      <w:r w:rsidRPr="00FF5304">
        <w:rPr>
          <w:rFonts w:ascii="Arial" w:hAnsi="Arial" w:cs="Arial"/>
          <w:szCs w:val="22"/>
        </w:rPr>
        <w:t>returns could be submitted to HMRC which could lead to a poor compliance record</w:t>
      </w:r>
      <w:r w:rsidR="002F6954">
        <w:rPr>
          <w:rFonts w:ascii="Arial" w:hAnsi="Arial" w:cs="Arial"/>
          <w:szCs w:val="22"/>
        </w:rPr>
        <w:t>, financial penalties</w:t>
      </w:r>
      <w:r w:rsidRPr="00FF5304">
        <w:rPr>
          <w:rFonts w:ascii="Arial" w:hAnsi="Arial" w:cs="Arial"/>
          <w:szCs w:val="22"/>
        </w:rPr>
        <w:t xml:space="preserve"> and reputational risk.</w:t>
      </w:r>
    </w:p>
    <w:p w14:paraId="5FD465EA" w14:textId="77777777" w:rsidR="008C35C8" w:rsidRPr="00E56C6B" w:rsidRDefault="009827D5" w:rsidP="008C35C8">
      <w:pPr>
        <w:pStyle w:val="Heading1"/>
      </w:pPr>
      <w:bookmarkStart w:id="6" w:name="_Toc70678990"/>
      <w:r>
        <w:t>6</w:t>
      </w:r>
      <w:r w:rsidR="008C35C8">
        <w:tab/>
      </w:r>
      <w:r w:rsidR="008C35C8" w:rsidRPr="00D3657D">
        <w:t>Policy</w:t>
      </w:r>
      <w:bookmarkEnd w:id="6"/>
    </w:p>
    <w:p w14:paraId="5FD465EC" w14:textId="55A0DEAB" w:rsidR="00B930B3" w:rsidRDefault="00FD7FA7" w:rsidP="00E37E84">
      <w:pPr>
        <w:tabs>
          <w:tab w:val="left" w:pos="426"/>
        </w:tabs>
        <w:spacing w:after="160"/>
        <w:rPr>
          <w:rFonts w:ascii="Arial" w:hAnsi="Arial" w:cs="Arial"/>
          <w:szCs w:val="22"/>
        </w:rPr>
      </w:pPr>
      <w:r w:rsidRPr="00FD7FA7">
        <w:rPr>
          <w:rFonts w:ascii="Arial" w:hAnsi="Arial" w:cs="Arial"/>
          <w:szCs w:val="22"/>
        </w:rPr>
        <w:t>The Finance Division has a framework for management and accountability for data quality with a commitment to securing a culture of data quality. This is reflected in the policies and processes which have been set up and are shown on the Finance website (</w:t>
      </w:r>
      <w:r w:rsidR="001E1680" w:rsidRPr="001E1680">
        <w:rPr>
          <w:rFonts w:ascii="Arial" w:hAnsi="Arial" w:cs="Arial"/>
          <w:szCs w:val="22"/>
        </w:rPr>
        <w:t>https://finance.web.ox.ac.uk/</w:t>
      </w:r>
      <w:r w:rsidRPr="00FD7FA7">
        <w:rPr>
          <w:rFonts w:ascii="Arial" w:hAnsi="Arial" w:cs="Arial"/>
          <w:szCs w:val="22"/>
        </w:rPr>
        <w:t xml:space="preserve">). </w:t>
      </w:r>
    </w:p>
    <w:p w14:paraId="5FD465ED" w14:textId="77777777" w:rsidR="00722E0F" w:rsidRPr="00F07033" w:rsidRDefault="00F80A3C" w:rsidP="00584321">
      <w:pPr>
        <w:pStyle w:val="Heading2"/>
        <w:numPr>
          <w:ilvl w:val="1"/>
          <w:numId w:val="23"/>
        </w:numPr>
        <w:spacing w:after="120"/>
        <w:ind w:left="709" w:hanging="709"/>
      </w:pPr>
      <w:bookmarkStart w:id="7" w:name="_Toc70678991"/>
      <w:r>
        <w:t>R</w:t>
      </w:r>
      <w:r w:rsidR="00722E0F">
        <w:t>esponsibilities</w:t>
      </w:r>
      <w:bookmarkEnd w:id="7"/>
    </w:p>
    <w:p w14:paraId="0DA21447" w14:textId="2F409403" w:rsidR="000C6465" w:rsidRPr="000C6465" w:rsidRDefault="000C6465" w:rsidP="000C6465">
      <w:pPr>
        <w:tabs>
          <w:tab w:val="left" w:pos="426"/>
        </w:tabs>
        <w:spacing w:after="160"/>
        <w:rPr>
          <w:rFonts w:ascii="Arial" w:hAnsi="Arial" w:cs="Arial"/>
          <w:szCs w:val="22"/>
        </w:rPr>
      </w:pPr>
      <w:r w:rsidRPr="000C6465">
        <w:rPr>
          <w:rFonts w:ascii="Arial" w:hAnsi="Arial" w:cs="Arial"/>
          <w:szCs w:val="22"/>
        </w:rPr>
        <w:t xml:space="preserve">Finance has appointed a senior individual responsible for data quality, the </w:t>
      </w:r>
      <w:r w:rsidR="001E1680" w:rsidRPr="001E1680">
        <w:rPr>
          <w:rFonts w:ascii="Arial" w:hAnsi="Arial" w:cs="Arial"/>
          <w:szCs w:val="22"/>
        </w:rPr>
        <w:t>Director of Technical Accounting &amp; Reporting</w:t>
      </w:r>
      <w:r w:rsidR="001E1680">
        <w:rPr>
          <w:rFonts w:ascii="Arial" w:hAnsi="Arial" w:cs="Arial"/>
          <w:szCs w:val="22"/>
        </w:rPr>
        <w:t>.</w:t>
      </w:r>
    </w:p>
    <w:p w14:paraId="5FD465EE" w14:textId="0001B4AA" w:rsidR="00B930B3" w:rsidRPr="00B930B3" w:rsidRDefault="000C6465" w:rsidP="000C6465">
      <w:pPr>
        <w:tabs>
          <w:tab w:val="left" w:pos="426"/>
        </w:tabs>
        <w:spacing w:after="160"/>
        <w:rPr>
          <w:rFonts w:ascii="Arial" w:hAnsi="Arial" w:cs="Arial"/>
          <w:szCs w:val="22"/>
        </w:rPr>
      </w:pPr>
      <w:r w:rsidRPr="000C6465">
        <w:rPr>
          <w:rFonts w:ascii="Arial" w:hAnsi="Arial" w:cs="Arial"/>
          <w:szCs w:val="22"/>
        </w:rPr>
        <w:t xml:space="preserve">This person will review annually that Finance has appropriate policies, systems and procedures to secure the quality of the data it records and uses for its reporting for each of its returns. Controls should be reviewed annually to ensure they are working effectively and the outcome of the review should be reported to the Finance </w:t>
      </w:r>
      <w:r w:rsidR="0043255B">
        <w:rPr>
          <w:rFonts w:ascii="Arial" w:hAnsi="Arial" w:cs="Arial"/>
          <w:szCs w:val="22"/>
        </w:rPr>
        <w:t>Leadership Team</w:t>
      </w:r>
      <w:r w:rsidRPr="000C6465">
        <w:rPr>
          <w:rFonts w:ascii="Arial" w:hAnsi="Arial" w:cs="Arial"/>
          <w:szCs w:val="22"/>
        </w:rPr>
        <w:t>. Finance will ensure these systems and processes focus on securing data which is acc</w:t>
      </w:r>
      <w:r>
        <w:rPr>
          <w:rFonts w:ascii="Arial" w:hAnsi="Arial" w:cs="Arial"/>
          <w:szCs w:val="22"/>
        </w:rPr>
        <w:t xml:space="preserve">urate, valid, reliable, timely, </w:t>
      </w:r>
      <w:r w:rsidRPr="000C6465">
        <w:rPr>
          <w:rFonts w:ascii="Arial" w:hAnsi="Arial" w:cs="Arial"/>
          <w:szCs w:val="22"/>
        </w:rPr>
        <w:t>relevant and complete.</w:t>
      </w:r>
    </w:p>
    <w:p w14:paraId="5FD465EF" w14:textId="77777777" w:rsidR="00722E0F" w:rsidRPr="00722E0F" w:rsidRDefault="006659FD" w:rsidP="00FE4DE3">
      <w:pPr>
        <w:pStyle w:val="Heading2"/>
        <w:numPr>
          <w:ilvl w:val="1"/>
          <w:numId w:val="23"/>
        </w:numPr>
        <w:spacing w:after="120"/>
        <w:ind w:left="709" w:hanging="709"/>
      </w:pPr>
      <w:bookmarkStart w:id="8" w:name="_Toc70678992"/>
      <w:r>
        <w:t>P</w:t>
      </w:r>
      <w:r w:rsidR="00722E0F" w:rsidRPr="00722E0F">
        <w:t>olicies, procedures, processes</w:t>
      </w:r>
      <w:r w:rsidR="00CF2DC8">
        <w:t>,</w:t>
      </w:r>
      <w:r w:rsidR="00722E0F" w:rsidRPr="00722E0F">
        <w:t xml:space="preserve"> systems</w:t>
      </w:r>
      <w:bookmarkEnd w:id="8"/>
    </w:p>
    <w:p w14:paraId="453E3D37" w14:textId="061E734E" w:rsidR="003A7964" w:rsidRPr="003A7964" w:rsidRDefault="00584321" w:rsidP="003A7964">
      <w:pPr>
        <w:tabs>
          <w:tab w:val="left" w:pos="426"/>
        </w:tabs>
        <w:spacing w:after="160"/>
        <w:rPr>
          <w:rFonts w:ascii="Arial" w:hAnsi="Arial" w:cs="Arial"/>
          <w:szCs w:val="22"/>
        </w:rPr>
      </w:pPr>
      <w:r>
        <w:rPr>
          <w:rFonts w:ascii="Arial" w:hAnsi="Arial" w:cs="Arial"/>
          <w:szCs w:val="22"/>
        </w:rPr>
        <w:t>Finance has</w:t>
      </w:r>
      <w:r w:rsidR="00075609">
        <w:rPr>
          <w:rFonts w:ascii="Arial" w:hAnsi="Arial" w:cs="Arial"/>
          <w:szCs w:val="22"/>
        </w:rPr>
        <w:t xml:space="preserve"> put in place procedures</w:t>
      </w:r>
      <w:r w:rsidR="003A7964" w:rsidRPr="003A7964">
        <w:rPr>
          <w:rFonts w:ascii="Arial" w:hAnsi="Arial" w:cs="Arial"/>
          <w:szCs w:val="22"/>
        </w:rPr>
        <w:t xml:space="preserve"> that are focussed on ensuring that data supporting reported information such as financial analyses are subject to a system of internal control and validation</w:t>
      </w:r>
      <w:r w:rsidR="00075609">
        <w:rPr>
          <w:rFonts w:ascii="Arial" w:hAnsi="Arial" w:cs="Arial"/>
          <w:szCs w:val="22"/>
        </w:rPr>
        <w:t>.</w:t>
      </w:r>
    </w:p>
    <w:p w14:paraId="5FD465F0" w14:textId="5DE5E90E" w:rsidR="00B7332C" w:rsidRPr="00B7332C" w:rsidRDefault="002F6954" w:rsidP="003A7964">
      <w:pPr>
        <w:tabs>
          <w:tab w:val="left" w:pos="426"/>
        </w:tabs>
        <w:spacing w:after="160"/>
        <w:rPr>
          <w:rFonts w:ascii="Arial" w:hAnsi="Arial" w:cs="Arial"/>
          <w:szCs w:val="22"/>
        </w:rPr>
      </w:pPr>
      <w:r w:rsidRPr="004B2350">
        <w:rPr>
          <w:rFonts w:ascii="Arial" w:hAnsi="Arial" w:cs="Arial"/>
          <w:szCs w:val="22"/>
        </w:rPr>
        <w:t>Within available budgets,</w:t>
      </w:r>
      <w:r>
        <w:rPr>
          <w:rFonts w:ascii="Arial" w:hAnsi="Arial" w:cs="Arial"/>
          <w:b/>
          <w:szCs w:val="22"/>
        </w:rPr>
        <w:t xml:space="preserve"> </w:t>
      </w:r>
      <w:r w:rsidR="00584321">
        <w:rPr>
          <w:rFonts w:ascii="Arial" w:hAnsi="Arial" w:cs="Arial"/>
          <w:szCs w:val="22"/>
        </w:rPr>
        <w:t xml:space="preserve">Finance </w:t>
      </w:r>
      <w:r w:rsidR="003A7964" w:rsidRPr="003A7964">
        <w:rPr>
          <w:rFonts w:ascii="Arial" w:hAnsi="Arial" w:cs="Arial"/>
          <w:szCs w:val="22"/>
        </w:rPr>
        <w:t>ensure</w:t>
      </w:r>
      <w:r w:rsidR="00584321">
        <w:rPr>
          <w:rFonts w:ascii="Arial" w:hAnsi="Arial" w:cs="Arial"/>
          <w:szCs w:val="22"/>
        </w:rPr>
        <w:t>s</w:t>
      </w:r>
      <w:r w:rsidR="003A7964" w:rsidRPr="003A7964">
        <w:rPr>
          <w:rFonts w:ascii="Arial" w:hAnsi="Arial" w:cs="Arial"/>
          <w:szCs w:val="22"/>
        </w:rPr>
        <w:t xml:space="preserve"> that all its information systems have</w:t>
      </w:r>
      <w:r>
        <w:rPr>
          <w:rFonts w:ascii="Arial" w:hAnsi="Arial" w:cs="Arial"/>
          <w:szCs w:val="22"/>
        </w:rPr>
        <w:t xml:space="preserve"> an element of</w:t>
      </w:r>
      <w:r w:rsidR="003A7964" w:rsidRPr="003A7964">
        <w:rPr>
          <w:rFonts w:ascii="Arial" w:hAnsi="Arial" w:cs="Arial"/>
          <w:szCs w:val="22"/>
        </w:rPr>
        <w:t xml:space="preserve"> built-in controls to </w:t>
      </w:r>
      <w:r>
        <w:rPr>
          <w:rFonts w:ascii="Arial" w:hAnsi="Arial" w:cs="Arial"/>
          <w:szCs w:val="22"/>
        </w:rPr>
        <w:t>limit</w:t>
      </w:r>
      <w:r w:rsidRPr="003A7964">
        <w:rPr>
          <w:rFonts w:ascii="Arial" w:hAnsi="Arial" w:cs="Arial"/>
          <w:szCs w:val="22"/>
        </w:rPr>
        <w:t xml:space="preserve"> </w:t>
      </w:r>
      <w:r w:rsidR="003A7964" w:rsidRPr="003A7964">
        <w:rPr>
          <w:rFonts w:ascii="Arial" w:hAnsi="Arial" w:cs="Arial"/>
          <w:szCs w:val="22"/>
        </w:rPr>
        <w:t xml:space="preserve">scope </w:t>
      </w:r>
      <w:r>
        <w:rPr>
          <w:rFonts w:ascii="Arial" w:hAnsi="Arial" w:cs="Arial"/>
          <w:szCs w:val="22"/>
        </w:rPr>
        <w:t>for</w:t>
      </w:r>
      <w:r w:rsidR="003A7964" w:rsidRPr="003A7964">
        <w:rPr>
          <w:rFonts w:ascii="Arial" w:hAnsi="Arial" w:cs="Arial"/>
          <w:szCs w:val="22"/>
        </w:rPr>
        <w:t xml:space="preserve"> human error or manipulation and prevent erroneous data entry, missing data or unauthorised data changes.</w:t>
      </w:r>
    </w:p>
    <w:p w14:paraId="5FD465F1" w14:textId="77777777" w:rsidR="00722E0F" w:rsidRDefault="006659FD" w:rsidP="00B7332C">
      <w:pPr>
        <w:pStyle w:val="Heading2"/>
        <w:numPr>
          <w:ilvl w:val="1"/>
          <w:numId w:val="23"/>
        </w:numPr>
        <w:spacing w:after="120"/>
      </w:pPr>
      <w:bookmarkStart w:id="9" w:name="_Toc70678993"/>
      <w:r>
        <w:t>S</w:t>
      </w:r>
      <w:r w:rsidR="00722E0F">
        <w:t>ecurity</w:t>
      </w:r>
      <w:bookmarkEnd w:id="9"/>
    </w:p>
    <w:p w14:paraId="27214AF9" w14:textId="7042DD36" w:rsidR="003A7964" w:rsidRDefault="003A7964" w:rsidP="00B930B3">
      <w:pPr>
        <w:tabs>
          <w:tab w:val="left" w:pos="426"/>
        </w:tabs>
        <w:spacing w:after="160"/>
        <w:rPr>
          <w:rFonts w:ascii="Arial" w:hAnsi="Arial" w:cs="Arial"/>
          <w:szCs w:val="22"/>
        </w:rPr>
      </w:pPr>
      <w:r w:rsidRPr="003A7964">
        <w:rPr>
          <w:rFonts w:ascii="Arial" w:hAnsi="Arial" w:cs="Arial"/>
          <w:szCs w:val="22"/>
        </w:rPr>
        <w:t xml:space="preserve">The integrity and security of data within the Oracle </w:t>
      </w:r>
      <w:r>
        <w:rPr>
          <w:rFonts w:ascii="Arial" w:hAnsi="Arial" w:cs="Arial"/>
          <w:szCs w:val="22"/>
        </w:rPr>
        <w:t>Financials system is essential. Access to the system</w:t>
      </w:r>
      <w:r w:rsidR="00067799">
        <w:rPr>
          <w:rFonts w:ascii="Arial" w:hAnsi="Arial" w:cs="Arial"/>
          <w:szCs w:val="22"/>
        </w:rPr>
        <w:t xml:space="preserve"> is only granted by the </w:t>
      </w:r>
      <w:r w:rsidR="00067799" w:rsidRPr="00067799">
        <w:rPr>
          <w:rFonts w:ascii="Arial" w:hAnsi="Arial" w:cs="Arial"/>
          <w:szCs w:val="22"/>
        </w:rPr>
        <w:t>Financial Systems Support Centre</w:t>
      </w:r>
      <w:r w:rsidR="00067799">
        <w:rPr>
          <w:rFonts w:ascii="Arial" w:hAnsi="Arial" w:cs="Arial"/>
          <w:szCs w:val="22"/>
        </w:rPr>
        <w:t xml:space="preserve"> at the request of the authorised signatory for the relevant department.</w:t>
      </w:r>
    </w:p>
    <w:p w14:paraId="502D54D5" w14:textId="7FF15C50" w:rsidR="00067799" w:rsidRDefault="00067799" w:rsidP="00B930B3">
      <w:pPr>
        <w:tabs>
          <w:tab w:val="left" w:pos="426"/>
        </w:tabs>
        <w:spacing w:after="160"/>
        <w:rPr>
          <w:rFonts w:ascii="Arial" w:hAnsi="Arial" w:cs="Arial"/>
          <w:szCs w:val="22"/>
        </w:rPr>
      </w:pPr>
      <w:r>
        <w:rPr>
          <w:rFonts w:ascii="Arial" w:hAnsi="Arial" w:cs="Arial"/>
          <w:szCs w:val="22"/>
        </w:rPr>
        <w:t>Security rules are in place on Oracle Financials to prevent unauthorised access.</w:t>
      </w:r>
    </w:p>
    <w:p w14:paraId="696F70C1" w14:textId="12725A6F" w:rsidR="00DA2F54" w:rsidRDefault="00DA2F54" w:rsidP="00B930B3">
      <w:pPr>
        <w:tabs>
          <w:tab w:val="left" w:pos="426"/>
        </w:tabs>
        <w:spacing w:after="160"/>
        <w:rPr>
          <w:rFonts w:ascii="Arial" w:hAnsi="Arial" w:cs="Arial"/>
          <w:szCs w:val="22"/>
        </w:rPr>
      </w:pPr>
      <w:r>
        <w:rPr>
          <w:rFonts w:ascii="Arial" w:hAnsi="Arial" w:cs="Arial"/>
          <w:szCs w:val="22"/>
        </w:rPr>
        <w:t>The following processes are in place to ensure those leaving the University do not retain their access to Oracle Financials</w:t>
      </w:r>
    </w:p>
    <w:p w14:paraId="6B9C47CC" w14:textId="2D0B1CEE" w:rsidR="00DA2F54" w:rsidRDefault="00DA2F54" w:rsidP="00DA2F54">
      <w:pPr>
        <w:pStyle w:val="ListParagraph"/>
        <w:numPr>
          <w:ilvl w:val="0"/>
          <w:numId w:val="27"/>
        </w:numPr>
        <w:tabs>
          <w:tab w:val="left" w:pos="426"/>
        </w:tabs>
        <w:spacing w:after="160"/>
        <w:rPr>
          <w:rFonts w:ascii="Arial" w:hAnsi="Arial" w:cs="Arial"/>
          <w:szCs w:val="22"/>
        </w:rPr>
      </w:pPr>
      <w:r w:rsidRPr="00DA2F54">
        <w:rPr>
          <w:rFonts w:ascii="Arial" w:hAnsi="Arial" w:cs="Arial"/>
          <w:szCs w:val="22"/>
        </w:rPr>
        <w:t xml:space="preserve">Departments should </w:t>
      </w:r>
      <w:r>
        <w:rPr>
          <w:rFonts w:ascii="Arial" w:hAnsi="Arial" w:cs="Arial"/>
          <w:szCs w:val="22"/>
        </w:rPr>
        <w:t>submit</w:t>
      </w:r>
      <w:r w:rsidRPr="00DA2F54">
        <w:rPr>
          <w:rFonts w:ascii="Arial" w:hAnsi="Arial" w:cs="Arial"/>
          <w:szCs w:val="22"/>
        </w:rPr>
        <w:t xml:space="preserve"> a remove user form as soon as someone leaves or changes status. </w:t>
      </w:r>
      <w:r>
        <w:rPr>
          <w:rFonts w:ascii="Arial" w:hAnsi="Arial" w:cs="Arial"/>
          <w:szCs w:val="22"/>
        </w:rPr>
        <w:t>As a backup Finance:</w:t>
      </w:r>
    </w:p>
    <w:p w14:paraId="46397485" w14:textId="6ADC1432" w:rsidR="00DA2F54" w:rsidRDefault="00DA2F54" w:rsidP="00456329">
      <w:pPr>
        <w:pStyle w:val="ListParagraph"/>
        <w:numPr>
          <w:ilvl w:val="0"/>
          <w:numId w:val="27"/>
        </w:numPr>
        <w:tabs>
          <w:tab w:val="left" w:pos="426"/>
        </w:tabs>
        <w:spacing w:after="160"/>
        <w:rPr>
          <w:rFonts w:ascii="Arial" w:hAnsi="Arial" w:cs="Arial"/>
          <w:szCs w:val="22"/>
        </w:rPr>
      </w:pPr>
      <w:r w:rsidRPr="00DA2F54">
        <w:rPr>
          <w:rFonts w:ascii="Arial" w:hAnsi="Arial" w:cs="Arial"/>
          <w:szCs w:val="22"/>
        </w:rPr>
        <w:t>Runs a report every month to check for leavers on Core</w:t>
      </w:r>
      <w:r>
        <w:rPr>
          <w:rFonts w:ascii="Arial" w:hAnsi="Arial" w:cs="Arial"/>
          <w:szCs w:val="22"/>
        </w:rPr>
        <w:t xml:space="preserve"> and remove their access</w:t>
      </w:r>
      <w:r w:rsidRPr="00DA2F54">
        <w:rPr>
          <w:rFonts w:ascii="Arial" w:hAnsi="Arial" w:cs="Arial"/>
          <w:szCs w:val="22"/>
        </w:rPr>
        <w:t xml:space="preserve">. This process </w:t>
      </w:r>
      <w:r w:rsidR="002D3193">
        <w:rPr>
          <w:rFonts w:ascii="Arial" w:hAnsi="Arial" w:cs="Arial"/>
          <w:szCs w:val="22"/>
        </w:rPr>
        <w:t>has been</w:t>
      </w:r>
      <w:r w:rsidRPr="00DA2F54">
        <w:rPr>
          <w:rFonts w:ascii="Arial" w:hAnsi="Arial" w:cs="Arial"/>
          <w:szCs w:val="22"/>
        </w:rPr>
        <w:t xml:space="preserve"> automated as part of E-Expenses to </w:t>
      </w:r>
      <w:r>
        <w:rPr>
          <w:rFonts w:ascii="Arial" w:hAnsi="Arial" w:cs="Arial"/>
          <w:szCs w:val="22"/>
        </w:rPr>
        <w:t>remove any leavers after one week.</w:t>
      </w:r>
    </w:p>
    <w:p w14:paraId="480404A7" w14:textId="53F980FC" w:rsidR="00DA2F54" w:rsidRPr="00DA2F54" w:rsidRDefault="00DA2F54" w:rsidP="00A45F27">
      <w:pPr>
        <w:pStyle w:val="ListParagraph"/>
        <w:numPr>
          <w:ilvl w:val="0"/>
          <w:numId w:val="27"/>
        </w:numPr>
        <w:tabs>
          <w:tab w:val="left" w:pos="426"/>
        </w:tabs>
        <w:spacing w:after="160"/>
        <w:rPr>
          <w:rFonts w:ascii="Arial" w:hAnsi="Arial" w:cs="Arial"/>
          <w:szCs w:val="22"/>
        </w:rPr>
      </w:pPr>
      <w:r w:rsidRPr="00DA2F54">
        <w:rPr>
          <w:rFonts w:ascii="Arial" w:hAnsi="Arial" w:cs="Arial"/>
          <w:szCs w:val="22"/>
        </w:rPr>
        <w:t>Runs a process once a month that end dates the account of anyone who has not accessed the system for 100 days.</w:t>
      </w:r>
    </w:p>
    <w:p w14:paraId="5FD465F3" w14:textId="77777777" w:rsidR="002B35A4" w:rsidRDefault="002B35A4" w:rsidP="00B7332C">
      <w:pPr>
        <w:pStyle w:val="Heading2"/>
        <w:numPr>
          <w:ilvl w:val="1"/>
          <w:numId w:val="23"/>
        </w:numPr>
        <w:spacing w:after="120"/>
      </w:pPr>
      <w:bookmarkStart w:id="10" w:name="_Toc70678994"/>
      <w:r>
        <w:lastRenderedPageBreak/>
        <w:t>Data quality assurance</w:t>
      </w:r>
      <w:bookmarkEnd w:id="10"/>
    </w:p>
    <w:p w14:paraId="5FD465F4" w14:textId="0A055186" w:rsidR="00B7332C" w:rsidRDefault="00075609" w:rsidP="00B930B3">
      <w:pPr>
        <w:tabs>
          <w:tab w:val="left" w:pos="426"/>
        </w:tabs>
        <w:spacing w:after="160"/>
        <w:rPr>
          <w:rFonts w:ascii="Arial" w:hAnsi="Arial" w:cs="Arial"/>
          <w:szCs w:val="22"/>
        </w:rPr>
      </w:pPr>
      <w:r w:rsidRPr="00075609">
        <w:rPr>
          <w:rFonts w:ascii="Arial" w:hAnsi="Arial" w:cs="Arial"/>
          <w:szCs w:val="22"/>
        </w:rPr>
        <w:t>Major pieces of work which will be submitted to outside public bodies</w:t>
      </w:r>
      <w:r w:rsidR="002F6954">
        <w:rPr>
          <w:rFonts w:ascii="Arial" w:hAnsi="Arial" w:cs="Arial"/>
          <w:szCs w:val="22"/>
        </w:rPr>
        <w:t xml:space="preserve"> are</w:t>
      </w:r>
      <w:r w:rsidRPr="00075609">
        <w:rPr>
          <w:rFonts w:ascii="Arial" w:hAnsi="Arial" w:cs="Arial"/>
          <w:szCs w:val="22"/>
        </w:rPr>
        <w:t xml:space="preserve"> subject to a formal review process and a risk evaluation, such as for in</w:t>
      </w:r>
      <w:r w:rsidR="001E1680">
        <w:rPr>
          <w:rFonts w:ascii="Arial" w:hAnsi="Arial" w:cs="Arial"/>
          <w:szCs w:val="22"/>
        </w:rPr>
        <w:t>stance the sign off of the OfS Financial R</w:t>
      </w:r>
      <w:r w:rsidRPr="00075609">
        <w:rPr>
          <w:rFonts w:ascii="Arial" w:hAnsi="Arial" w:cs="Arial"/>
          <w:szCs w:val="22"/>
        </w:rPr>
        <w:t>eturn.</w:t>
      </w:r>
    </w:p>
    <w:p w14:paraId="7C1ADA1C" w14:textId="4AA6AE96" w:rsidR="00075609" w:rsidRDefault="00075609" w:rsidP="00B930B3">
      <w:pPr>
        <w:tabs>
          <w:tab w:val="left" w:pos="426"/>
        </w:tabs>
        <w:spacing w:after="160"/>
        <w:rPr>
          <w:rFonts w:ascii="Arial" w:hAnsi="Arial" w:cs="Arial"/>
          <w:szCs w:val="22"/>
        </w:rPr>
      </w:pPr>
      <w:r>
        <w:rPr>
          <w:rFonts w:ascii="Arial" w:hAnsi="Arial" w:cs="Arial"/>
          <w:szCs w:val="22"/>
        </w:rPr>
        <w:t>Data input at departmental level</w:t>
      </w:r>
      <w:r w:rsidRPr="00075609">
        <w:rPr>
          <w:rFonts w:ascii="Arial" w:hAnsi="Arial" w:cs="Arial"/>
          <w:szCs w:val="22"/>
        </w:rPr>
        <w:t xml:space="preserve"> which cannot be validated </w:t>
      </w:r>
      <w:r>
        <w:rPr>
          <w:rFonts w:ascii="Arial" w:hAnsi="Arial" w:cs="Arial"/>
          <w:szCs w:val="22"/>
        </w:rPr>
        <w:t>in detail is</w:t>
      </w:r>
      <w:r w:rsidRPr="00075609">
        <w:rPr>
          <w:rFonts w:ascii="Arial" w:hAnsi="Arial" w:cs="Arial"/>
          <w:szCs w:val="22"/>
        </w:rPr>
        <w:t xml:space="preserve"> validated at material levels by analytical review and by ensuring system and authorisation controls are operating correctly.</w:t>
      </w:r>
    </w:p>
    <w:p w14:paraId="5FD465F5" w14:textId="77777777" w:rsidR="002B35A4" w:rsidRDefault="006659FD" w:rsidP="004D33EE">
      <w:pPr>
        <w:pStyle w:val="Heading2"/>
        <w:numPr>
          <w:ilvl w:val="1"/>
          <w:numId w:val="23"/>
        </w:numPr>
        <w:spacing w:after="120"/>
      </w:pPr>
      <w:bookmarkStart w:id="11" w:name="_Toc70678995"/>
      <w:r>
        <w:t>T</w:t>
      </w:r>
      <w:r w:rsidR="002B35A4">
        <w:t>raining</w:t>
      </w:r>
      <w:bookmarkEnd w:id="11"/>
    </w:p>
    <w:p w14:paraId="677E8BD7" w14:textId="6296B9CC" w:rsidR="003A7964" w:rsidRDefault="003A7964" w:rsidP="00B930B3">
      <w:pPr>
        <w:tabs>
          <w:tab w:val="left" w:pos="426"/>
        </w:tabs>
        <w:spacing w:after="160"/>
        <w:rPr>
          <w:rFonts w:ascii="Arial" w:hAnsi="Arial" w:cs="Arial"/>
          <w:szCs w:val="22"/>
        </w:rPr>
      </w:pPr>
      <w:r>
        <w:rPr>
          <w:rFonts w:ascii="Arial" w:hAnsi="Arial" w:cs="Arial"/>
          <w:szCs w:val="22"/>
        </w:rPr>
        <w:t>Finance has</w:t>
      </w:r>
      <w:r w:rsidRPr="003A7964">
        <w:rPr>
          <w:rFonts w:ascii="Arial" w:hAnsi="Arial" w:cs="Arial"/>
          <w:szCs w:val="22"/>
        </w:rPr>
        <w:t xml:space="preserve"> put in place arrangements to ensure that members of staff have the knowledge, competencies and capacity for their role in relation to data quality. This </w:t>
      </w:r>
      <w:r>
        <w:rPr>
          <w:rFonts w:ascii="Arial" w:hAnsi="Arial" w:cs="Arial"/>
          <w:szCs w:val="22"/>
        </w:rPr>
        <w:t>is</w:t>
      </w:r>
      <w:r w:rsidRPr="003A7964">
        <w:rPr>
          <w:rFonts w:ascii="Arial" w:hAnsi="Arial" w:cs="Arial"/>
          <w:szCs w:val="22"/>
        </w:rPr>
        <w:t xml:space="preserve"> achieved by maintaining an up-to-date training policy and</w:t>
      </w:r>
      <w:r w:rsidR="00FE4C77">
        <w:rPr>
          <w:rFonts w:ascii="Arial" w:hAnsi="Arial" w:cs="Arial"/>
          <w:szCs w:val="22"/>
        </w:rPr>
        <w:t xml:space="preserve"> </w:t>
      </w:r>
      <w:r>
        <w:rPr>
          <w:rFonts w:ascii="Arial" w:hAnsi="Arial" w:cs="Arial"/>
          <w:szCs w:val="22"/>
        </w:rPr>
        <w:t>a pers</w:t>
      </w:r>
      <w:r w:rsidR="00FE4C77">
        <w:rPr>
          <w:rFonts w:ascii="Arial" w:hAnsi="Arial" w:cs="Arial"/>
          <w:szCs w:val="22"/>
        </w:rPr>
        <w:t>onal development review process for Finance Division staff.</w:t>
      </w:r>
    </w:p>
    <w:p w14:paraId="0A367303" w14:textId="77777777" w:rsidR="00584321" w:rsidRDefault="003A7964" w:rsidP="00B930B3">
      <w:pPr>
        <w:tabs>
          <w:tab w:val="left" w:pos="426"/>
        </w:tabs>
        <w:spacing w:after="160"/>
      </w:pPr>
      <w:r>
        <w:rPr>
          <w:rFonts w:ascii="Arial" w:hAnsi="Arial" w:cs="Arial"/>
          <w:szCs w:val="22"/>
        </w:rPr>
        <w:t>A</w:t>
      </w:r>
      <w:r w:rsidRPr="003A7964">
        <w:rPr>
          <w:rFonts w:ascii="Arial" w:hAnsi="Arial" w:cs="Arial"/>
          <w:szCs w:val="22"/>
        </w:rPr>
        <w:t xml:space="preserve">ccess </w:t>
      </w:r>
      <w:r>
        <w:rPr>
          <w:rFonts w:ascii="Arial" w:hAnsi="Arial" w:cs="Arial"/>
          <w:szCs w:val="22"/>
        </w:rPr>
        <w:t>to Oracle Financ</w:t>
      </w:r>
      <w:r w:rsidRPr="003A7964">
        <w:rPr>
          <w:rFonts w:ascii="Arial" w:hAnsi="Arial" w:cs="Arial"/>
          <w:szCs w:val="22"/>
        </w:rPr>
        <w:t>i</w:t>
      </w:r>
      <w:r>
        <w:rPr>
          <w:rFonts w:ascii="Arial" w:hAnsi="Arial" w:cs="Arial"/>
          <w:szCs w:val="22"/>
        </w:rPr>
        <w:t>al</w:t>
      </w:r>
      <w:r w:rsidRPr="003A7964">
        <w:rPr>
          <w:rFonts w:ascii="Arial" w:hAnsi="Arial" w:cs="Arial"/>
          <w:szCs w:val="22"/>
        </w:rPr>
        <w:t xml:space="preserve">s granted on the system </w:t>
      </w:r>
      <w:r>
        <w:rPr>
          <w:rFonts w:ascii="Arial" w:hAnsi="Arial" w:cs="Arial"/>
          <w:szCs w:val="22"/>
        </w:rPr>
        <w:t>only when</w:t>
      </w:r>
      <w:r w:rsidRPr="003A7964">
        <w:rPr>
          <w:rFonts w:ascii="Arial" w:hAnsi="Arial" w:cs="Arial"/>
          <w:szCs w:val="22"/>
        </w:rPr>
        <w:t xml:space="preserve"> the user c</w:t>
      </w:r>
      <w:r>
        <w:rPr>
          <w:rFonts w:ascii="Arial" w:hAnsi="Arial" w:cs="Arial"/>
          <w:szCs w:val="22"/>
        </w:rPr>
        <w:t>ompletes the necessary training.</w:t>
      </w:r>
    </w:p>
    <w:p w14:paraId="5FD465F7" w14:textId="77777777" w:rsidR="00883B70" w:rsidRDefault="009E448E" w:rsidP="00255C15">
      <w:pPr>
        <w:pStyle w:val="Heading2"/>
        <w:numPr>
          <w:ilvl w:val="1"/>
          <w:numId w:val="23"/>
        </w:numPr>
        <w:spacing w:after="120"/>
      </w:pPr>
      <w:bookmarkStart w:id="12" w:name="_Toc70678996"/>
      <w:r>
        <w:t>Review and communication</w:t>
      </w:r>
      <w:bookmarkEnd w:id="12"/>
    </w:p>
    <w:p w14:paraId="2C586B8C" w14:textId="03100503" w:rsidR="00067799" w:rsidRPr="00067799" w:rsidRDefault="00067799" w:rsidP="00067799">
      <w:pPr>
        <w:tabs>
          <w:tab w:val="left" w:pos="426"/>
        </w:tabs>
        <w:spacing w:after="160"/>
        <w:rPr>
          <w:rFonts w:ascii="Arial" w:hAnsi="Arial" w:cs="Arial"/>
          <w:szCs w:val="22"/>
        </w:rPr>
      </w:pPr>
      <w:r w:rsidRPr="00067799">
        <w:rPr>
          <w:rFonts w:ascii="Arial" w:hAnsi="Arial" w:cs="Arial"/>
          <w:szCs w:val="22"/>
        </w:rPr>
        <w:t xml:space="preserve">This policy is reviewed and updated annually by the </w:t>
      </w:r>
      <w:r w:rsidR="001E1680" w:rsidRPr="001E1680">
        <w:rPr>
          <w:rFonts w:ascii="Arial" w:hAnsi="Arial" w:cs="Arial"/>
          <w:szCs w:val="22"/>
        </w:rPr>
        <w:t xml:space="preserve">Director of Technical Accounting &amp; Reporting </w:t>
      </w:r>
      <w:r w:rsidRPr="00067799">
        <w:rPr>
          <w:rFonts w:ascii="Arial" w:hAnsi="Arial" w:cs="Arial"/>
          <w:szCs w:val="22"/>
        </w:rPr>
        <w:t xml:space="preserve">and approved by the </w:t>
      </w:r>
      <w:r>
        <w:rPr>
          <w:rFonts w:ascii="Arial" w:hAnsi="Arial" w:cs="Arial"/>
          <w:szCs w:val="22"/>
        </w:rPr>
        <w:t>Director of Finance</w:t>
      </w:r>
      <w:r w:rsidRPr="00067799">
        <w:rPr>
          <w:rFonts w:ascii="Arial" w:hAnsi="Arial" w:cs="Arial"/>
          <w:szCs w:val="22"/>
        </w:rPr>
        <w:t>.</w:t>
      </w:r>
    </w:p>
    <w:p w14:paraId="5FD465F8" w14:textId="3FA3D7A4" w:rsidR="00B930B3" w:rsidRDefault="00067799" w:rsidP="00067799">
      <w:pPr>
        <w:tabs>
          <w:tab w:val="left" w:pos="426"/>
        </w:tabs>
        <w:spacing w:after="160"/>
        <w:rPr>
          <w:rFonts w:ascii="Arial" w:hAnsi="Arial" w:cs="Arial"/>
          <w:szCs w:val="22"/>
        </w:rPr>
      </w:pPr>
      <w:r w:rsidRPr="00067799">
        <w:rPr>
          <w:rFonts w:ascii="Arial" w:hAnsi="Arial" w:cs="Arial"/>
          <w:szCs w:val="22"/>
        </w:rPr>
        <w:t>This policy is revie</w:t>
      </w:r>
      <w:r>
        <w:rPr>
          <w:rFonts w:ascii="Arial" w:hAnsi="Arial" w:cs="Arial"/>
          <w:szCs w:val="22"/>
        </w:rPr>
        <w:t>wed by the Data Assurance Group</w:t>
      </w:r>
    </w:p>
    <w:p w14:paraId="2EF92222" w14:textId="304349CA" w:rsidR="00584321" w:rsidRDefault="00584321" w:rsidP="00584321">
      <w:pPr>
        <w:tabs>
          <w:tab w:val="left" w:pos="426"/>
        </w:tabs>
        <w:spacing w:after="160"/>
        <w:rPr>
          <w:rFonts w:ascii="Arial" w:hAnsi="Arial" w:cs="Arial"/>
          <w:szCs w:val="22"/>
        </w:rPr>
      </w:pPr>
      <w:r>
        <w:rPr>
          <w:rFonts w:ascii="Arial" w:hAnsi="Arial" w:cs="Arial"/>
          <w:szCs w:val="22"/>
        </w:rPr>
        <w:t>Financial</w:t>
      </w:r>
      <w:r w:rsidRPr="00584321">
        <w:rPr>
          <w:rFonts w:ascii="Arial" w:hAnsi="Arial" w:cs="Arial"/>
          <w:szCs w:val="22"/>
        </w:rPr>
        <w:t xml:space="preserve"> procedures and guidelines </w:t>
      </w:r>
      <w:r>
        <w:rPr>
          <w:rFonts w:ascii="Arial" w:hAnsi="Arial" w:cs="Arial"/>
          <w:szCs w:val="22"/>
        </w:rPr>
        <w:t>are</w:t>
      </w:r>
      <w:r w:rsidRPr="00584321">
        <w:rPr>
          <w:rFonts w:ascii="Arial" w:hAnsi="Arial" w:cs="Arial"/>
          <w:szCs w:val="22"/>
        </w:rPr>
        <w:t xml:space="preserve"> communicated to</w:t>
      </w:r>
      <w:r>
        <w:rPr>
          <w:rFonts w:ascii="Arial" w:hAnsi="Arial" w:cs="Arial"/>
          <w:szCs w:val="22"/>
        </w:rPr>
        <w:t xml:space="preserve"> the relevant staff v</w:t>
      </w:r>
      <w:r w:rsidR="00FE4C77">
        <w:rPr>
          <w:rFonts w:ascii="Arial" w:hAnsi="Arial" w:cs="Arial"/>
          <w:szCs w:val="22"/>
        </w:rPr>
        <w:t>ia the Finance Division website and</w:t>
      </w:r>
      <w:r>
        <w:rPr>
          <w:rFonts w:ascii="Arial" w:hAnsi="Arial" w:cs="Arial"/>
          <w:szCs w:val="22"/>
        </w:rPr>
        <w:t xml:space="preserve"> </w:t>
      </w:r>
      <w:r w:rsidR="00FE4C77">
        <w:rPr>
          <w:rFonts w:ascii="Arial" w:hAnsi="Arial" w:cs="Arial"/>
          <w:szCs w:val="22"/>
        </w:rPr>
        <w:t>monthly Finance Bulletin emails</w:t>
      </w:r>
      <w:r>
        <w:rPr>
          <w:rFonts w:ascii="Arial" w:hAnsi="Arial" w:cs="Arial"/>
          <w:szCs w:val="22"/>
        </w:rPr>
        <w:t>.</w:t>
      </w:r>
    </w:p>
    <w:p w14:paraId="6371D1FD" w14:textId="77777777" w:rsidR="00584321" w:rsidRDefault="00584321" w:rsidP="00584321">
      <w:pPr>
        <w:tabs>
          <w:tab w:val="left" w:pos="426"/>
        </w:tabs>
        <w:spacing w:after="160"/>
        <w:rPr>
          <w:rFonts w:ascii="Arial" w:hAnsi="Arial" w:cs="Arial"/>
          <w:szCs w:val="22"/>
        </w:rPr>
      </w:pPr>
    </w:p>
    <w:p w14:paraId="12CAF42E" w14:textId="27583818" w:rsidR="00584321" w:rsidRPr="00FE4C77" w:rsidRDefault="00584321" w:rsidP="00584321">
      <w:pPr>
        <w:tabs>
          <w:tab w:val="left" w:pos="426"/>
        </w:tabs>
        <w:spacing w:after="160"/>
        <w:rPr>
          <w:rFonts w:ascii="Arial" w:hAnsi="Arial" w:cs="Arial"/>
          <w:szCs w:val="22"/>
        </w:rPr>
        <w:sectPr w:rsidR="00584321" w:rsidRPr="00FE4C77" w:rsidSect="00987BC4">
          <w:headerReference w:type="default" r:id="rId13"/>
          <w:footerReference w:type="default" r:id="rId14"/>
          <w:pgSz w:w="11907" w:h="16839" w:code="9"/>
          <w:pgMar w:top="1440" w:right="1440" w:bottom="1440" w:left="1440" w:header="708" w:footer="708" w:gutter="0"/>
          <w:cols w:space="708"/>
          <w:docGrid w:linePitch="360"/>
        </w:sectPr>
      </w:pPr>
    </w:p>
    <w:p w14:paraId="60BF4A87" w14:textId="2F49CF56" w:rsidR="00C42FD5" w:rsidRDefault="00C42FD5" w:rsidP="00C42FD5">
      <w:pPr>
        <w:pStyle w:val="Heading1"/>
      </w:pPr>
      <w:bookmarkStart w:id="13" w:name="_Toc70678997"/>
      <w:r>
        <w:lastRenderedPageBreak/>
        <w:t>Appendix A: returns and reports in Finance</w:t>
      </w:r>
      <w:bookmarkEnd w:id="13"/>
    </w:p>
    <w:p w14:paraId="6C9D15C5" w14:textId="77777777" w:rsidR="00C42FD5" w:rsidRDefault="00C42FD5" w:rsidP="00C42FD5"/>
    <w:tbl>
      <w:tblPr>
        <w:tblStyle w:val="TableGrid"/>
        <w:tblW w:w="0" w:type="auto"/>
        <w:tblLook w:val="04A0" w:firstRow="1" w:lastRow="0" w:firstColumn="1" w:lastColumn="0" w:noHBand="0" w:noVBand="1"/>
      </w:tblPr>
      <w:tblGrid>
        <w:gridCol w:w="1632"/>
        <w:gridCol w:w="2618"/>
        <w:gridCol w:w="2683"/>
        <w:gridCol w:w="2701"/>
        <w:gridCol w:w="1701"/>
        <w:gridCol w:w="1985"/>
      </w:tblGrid>
      <w:tr w:rsidR="00555ADD" w:rsidRPr="000609DD" w14:paraId="26A60BAC" w14:textId="6E64F4D1" w:rsidTr="006300B2">
        <w:trPr>
          <w:cantSplit/>
          <w:tblHeader/>
        </w:trPr>
        <w:tc>
          <w:tcPr>
            <w:tcW w:w="1632" w:type="dxa"/>
          </w:tcPr>
          <w:p w14:paraId="09DED3AC" w14:textId="77777777" w:rsidR="00555ADD" w:rsidRPr="000609DD" w:rsidRDefault="00555ADD" w:rsidP="0002716B">
            <w:pPr>
              <w:rPr>
                <w:rFonts w:cs="Arial"/>
              </w:rPr>
            </w:pPr>
            <w:bookmarkStart w:id="14" w:name="_Hlk132880825"/>
            <w:bookmarkStart w:id="15" w:name="_Hlk132881370"/>
            <w:r w:rsidRPr="000609DD">
              <w:rPr>
                <w:rFonts w:cs="Arial"/>
              </w:rPr>
              <w:t>External Body</w:t>
            </w:r>
          </w:p>
          <w:p w14:paraId="446B3604" w14:textId="77777777" w:rsidR="00555ADD" w:rsidRPr="000609DD" w:rsidRDefault="00555ADD" w:rsidP="0002716B">
            <w:pPr>
              <w:rPr>
                <w:rFonts w:cs="Arial"/>
              </w:rPr>
            </w:pPr>
          </w:p>
        </w:tc>
        <w:tc>
          <w:tcPr>
            <w:tcW w:w="2618" w:type="dxa"/>
          </w:tcPr>
          <w:p w14:paraId="60040AB2" w14:textId="77777777" w:rsidR="00555ADD" w:rsidRPr="000609DD" w:rsidRDefault="00555ADD" w:rsidP="0002716B">
            <w:pPr>
              <w:rPr>
                <w:rFonts w:cs="Arial"/>
              </w:rPr>
            </w:pPr>
            <w:r w:rsidRPr="000609DD">
              <w:rPr>
                <w:rFonts w:cs="Arial"/>
              </w:rPr>
              <w:t>Name of Report</w:t>
            </w:r>
          </w:p>
        </w:tc>
        <w:tc>
          <w:tcPr>
            <w:tcW w:w="2683" w:type="dxa"/>
          </w:tcPr>
          <w:p w14:paraId="161B474D" w14:textId="77777777" w:rsidR="00555ADD" w:rsidRPr="000609DD" w:rsidRDefault="00555ADD" w:rsidP="0002716B">
            <w:pPr>
              <w:rPr>
                <w:rFonts w:cs="Arial"/>
              </w:rPr>
            </w:pPr>
            <w:r w:rsidRPr="000609DD">
              <w:rPr>
                <w:rFonts w:cs="Arial"/>
              </w:rPr>
              <w:t>Nature of Information</w:t>
            </w:r>
          </w:p>
        </w:tc>
        <w:tc>
          <w:tcPr>
            <w:tcW w:w="2701" w:type="dxa"/>
          </w:tcPr>
          <w:p w14:paraId="2F8B1962" w14:textId="77777777" w:rsidR="00555ADD" w:rsidRPr="000609DD" w:rsidRDefault="00555ADD" w:rsidP="0002716B">
            <w:pPr>
              <w:rPr>
                <w:rFonts w:cs="Arial"/>
              </w:rPr>
            </w:pPr>
            <w:r w:rsidRPr="000609DD">
              <w:rPr>
                <w:rFonts w:cs="Arial"/>
              </w:rPr>
              <w:t>Frequency/month</w:t>
            </w:r>
          </w:p>
        </w:tc>
        <w:tc>
          <w:tcPr>
            <w:tcW w:w="1701" w:type="dxa"/>
          </w:tcPr>
          <w:p w14:paraId="0659983A" w14:textId="77777777" w:rsidR="00555ADD" w:rsidRPr="000609DD" w:rsidRDefault="00555ADD" w:rsidP="0002716B">
            <w:pPr>
              <w:rPr>
                <w:rFonts w:cs="Arial"/>
              </w:rPr>
            </w:pPr>
            <w:r w:rsidRPr="000609DD">
              <w:rPr>
                <w:rFonts w:cs="Arial"/>
              </w:rPr>
              <w:t>Responsibility</w:t>
            </w:r>
          </w:p>
        </w:tc>
        <w:tc>
          <w:tcPr>
            <w:tcW w:w="1985" w:type="dxa"/>
            <w:shd w:val="clear" w:color="auto" w:fill="auto"/>
          </w:tcPr>
          <w:p w14:paraId="36319175" w14:textId="00ED27D0" w:rsidR="00555ADD" w:rsidRPr="009E5880" w:rsidRDefault="009E5880" w:rsidP="002D3193">
            <w:pPr>
              <w:rPr>
                <w:rFonts w:cs="Arial"/>
                <w:highlight w:val="yellow"/>
              </w:rPr>
            </w:pPr>
            <w:r w:rsidRPr="006300B2">
              <w:rPr>
                <w:rFonts w:cs="Arial"/>
              </w:rPr>
              <w:t>2022/23</w:t>
            </w:r>
            <w:r w:rsidR="00555ADD" w:rsidRPr="006300B2">
              <w:rPr>
                <w:rFonts w:cs="Arial"/>
              </w:rPr>
              <w:t xml:space="preserve"> status</w:t>
            </w:r>
          </w:p>
        </w:tc>
      </w:tr>
      <w:tr w:rsidR="00555ADD" w:rsidRPr="000609DD" w14:paraId="7A651536" w14:textId="4F0FE0A0" w:rsidTr="00555ADD">
        <w:trPr>
          <w:cantSplit/>
        </w:trPr>
        <w:tc>
          <w:tcPr>
            <w:tcW w:w="1632" w:type="dxa"/>
          </w:tcPr>
          <w:p w14:paraId="4B1A9AFA" w14:textId="77777777" w:rsidR="00555ADD" w:rsidRPr="000609DD" w:rsidRDefault="00555ADD" w:rsidP="00C42FD5">
            <w:pPr>
              <w:jc w:val="left"/>
              <w:rPr>
                <w:rFonts w:cs="Arial"/>
              </w:rPr>
            </w:pPr>
            <w:r w:rsidRPr="000609DD">
              <w:rPr>
                <w:rFonts w:cs="Arial"/>
              </w:rPr>
              <w:t>HM Revenue and Customs</w:t>
            </w:r>
          </w:p>
          <w:p w14:paraId="56B84C53" w14:textId="77777777" w:rsidR="00555ADD" w:rsidRPr="000609DD" w:rsidRDefault="00555ADD" w:rsidP="00C42FD5">
            <w:pPr>
              <w:jc w:val="left"/>
              <w:rPr>
                <w:rFonts w:cs="Arial"/>
              </w:rPr>
            </w:pPr>
          </w:p>
          <w:p w14:paraId="7754EE61" w14:textId="77777777" w:rsidR="00555ADD" w:rsidRPr="000609DD" w:rsidRDefault="00555ADD" w:rsidP="00C42FD5">
            <w:pPr>
              <w:jc w:val="left"/>
              <w:rPr>
                <w:rFonts w:cs="Arial"/>
              </w:rPr>
            </w:pPr>
            <w:r w:rsidRPr="000609DD">
              <w:rPr>
                <w:rFonts w:cs="Arial"/>
              </w:rPr>
              <w:t>Payroll</w:t>
            </w:r>
          </w:p>
        </w:tc>
        <w:tc>
          <w:tcPr>
            <w:tcW w:w="2618" w:type="dxa"/>
          </w:tcPr>
          <w:p w14:paraId="104A0477" w14:textId="77777777" w:rsidR="00555ADD" w:rsidRPr="000609DD" w:rsidRDefault="00555ADD" w:rsidP="00C42FD5">
            <w:pPr>
              <w:jc w:val="left"/>
              <w:rPr>
                <w:rFonts w:cs="Arial"/>
              </w:rPr>
            </w:pPr>
            <w:r>
              <w:rPr>
                <w:rFonts w:cs="Arial"/>
              </w:rPr>
              <w:t>RTI</w:t>
            </w:r>
          </w:p>
          <w:p w14:paraId="0299FB36" w14:textId="77777777" w:rsidR="00555ADD" w:rsidRPr="000609DD" w:rsidRDefault="00555ADD" w:rsidP="00C42FD5">
            <w:pPr>
              <w:jc w:val="left"/>
              <w:rPr>
                <w:rFonts w:cs="Arial"/>
              </w:rPr>
            </w:pPr>
            <w:r w:rsidRPr="000609DD">
              <w:rPr>
                <w:rFonts w:cs="Arial"/>
              </w:rPr>
              <w:t>P11D</w:t>
            </w:r>
            <w:r>
              <w:rPr>
                <w:rFonts w:cs="Arial"/>
              </w:rPr>
              <w:t xml:space="preserve"> and P11D(b)</w:t>
            </w:r>
          </w:p>
          <w:p w14:paraId="68470003" w14:textId="77777777" w:rsidR="00555ADD" w:rsidRPr="000609DD" w:rsidRDefault="00555ADD" w:rsidP="00C42FD5">
            <w:pPr>
              <w:jc w:val="left"/>
              <w:rPr>
                <w:rFonts w:cs="Arial"/>
              </w:rPr>
            </w:pPr>
            <w:r w:rsidRPr="000609DD">
              <w:rPr>
                <w:rFonts w:cs="Arial"/>
              </w:rPr>
              <w:t>PSA</w:t>
            </w:r>
          </w:p>
          <w:p w14:paraId="06D8522E" w14:textId="77777777" w:rsidR="00555ADD" w:rsidRPr="000609DD" w:rsidRDefault="00555ADD" w:rsidP="00C42FD5">
            <w:pPr>
              <w:jc w:val="left"/>
              <w:rPr>
                <w:rFonts w:cs="Arial"/>
              </w:rPr>
            </w:pPr>
            <w:r w:rsidRPr="000609DD">
              <w:rPr>
                <w:rFonts w:cs="Arial"/>
              </w:rPr>
              <w:t>P45</w:t>
            </w:r>
          </w:p>
          <w:p w14:paraId="33D56616" w14:textId="77777777" w:rsidR="00555ADD" w:rsidRDefault="00555ADD" w:rsidP="00C42FD5">
            <w:pPr>
              <w:jc w:val="left"/>
              <w:rPr>
                <w:rFonts w:cs="Arial"/>
              </w:rPr>
            </w:pPr>
            <w:r>
              <w:rPr>
                <w:rFonts w:cs="Arial"/>
              </w:rPr>
              <w:t>Starter declaration</w:t>
            </w:r>
          </w:p>
          <w:p w14:paraId="1CBA1663" w14:textId="77777777" w:rsidR="00555ADD" w:rsidRDefault="00555ADD" w:rsidP="00C42FD5">
            <w:pPr>
              <w:jc w:val="left"/>
              <w:rPr>
                <w:rFonts w:cs="Arial"/>
              </w:rPr>
            </w:pPr>
            <w:proofErr w:type="spellStart"/>
            <w:r>
              <w:rPr>
                <w:rFonts w:cs="Arial"/>
              </w:rPr>
              <w:t>Sch</w:t>
            </w:r>
            <w:proofErr w:type="spellEnd"/>
            <w:r>
              <w:rPr>
                <w:rFonts w:cs="Arial"/>
              </w:rPr>
              <w:t xml:space="preserve"> 23</w:t>
            </w:r>
            <w:r w:rsidRPr="000609DD">
              <w:rPr>
                <w:rFonts w:cs="Arial"/>
              </w:rPr>
              <w:t xml:space="preserve"> </w:t>
            </w:r>
            <w:r>
              <w:rPr>
                <w:rFonts w:cs="Arial"/>
              </w:rPr>
              <w:t>Finance Act 2011</w:t>
            </w:r>
          </w:p>
          <w:p w14:paraId="29F996E1" w14:textId="77777777" w:rsidR="00555ADD" w:rsidRDefault="00555ADD" w:rsidP="00C42FD5">
            <w:pPr>
              <w:jc w:val="left"/>
              <w:rPr>
                <w:rFonts w:cs="Arial"/>
              </w:rPr>
            </w:pPr>
          </w:p>
          <w:p w14:paraId="671DF114" w14:textId="77777777" w:rsidR="00555ADD" w:rsidRPr="000609DD" w:rsidRDefault="00555ADD" w:rsidP="00C42FD5">
            <w:pPr>
              <w:jc w:val="left"/>
              <w:rPr>
                <w:rFonts w:cs="Arial"/>
              </w:rPr>
            </w:pPr>
            <w:r>
              <w:rPr>
                <w:rFonts w:cs="Arial"/>
              </w:rPr>
              <w:t>CT61</w:t>
            </w:r>
          </w:p>
          <w:p w14:paraId="02B68714" w14:textId="77777777" w:rsidR="00555ADD" w:rsidRPr="000609DD" w:rsidRDefault="00555ADD" w:rsidP="00C42FD5">
            <w:pPr>
              <w:jc w:val="left"/>
              <w:rPr>
                <w:rFonts w:cs="Arial"/>
              </w:rPr>
            </w:pPr>
          </w:p>
        </w:tc>
        <w:tc>
          <w:tcPr>
            <w:tcW w:w="2683" w:type="dxa"/>
          </w:tcPr>
          <w:p w14:paraId="2F68B294" w14:textId="77777777" w:rsidR="00555ADD" w:rsidRDefault="00555ADD" w:rsidP="00C42FD5">
            <w:pPr>
              <w:jc w:val="left"/>
              <w:rPr>
                <w:rFonts w:cs="Arial"/>
              </w:rPr>
            </w:pPr>
            <w:r w:rsidRPr="000609DD">
              <w:rPr>
                <w:rFonts w:cs="Arial"/>
              </w:rPr>
              <w:t>PAYE/NI</w:t>
            </w:r>
          </w:p>
          <w:p w14:paraId="5E97A6F7" w14:textId="77777777" w:rsidR="00555ADD" w:rsidRDefault="00555ADD" w:rsidP="00C42FD5">
            <w:pPr>
              <w:jc w:val="left"/>
              <w:rPr>
                <w:rFonts w:cs="Arial"/>
              </w:rPr>
            </w:pPr>
          </w:p>
          <w:p w14:paraId="7AED4258" w14:textId="77777777" w:rsidR="00555ADD" w:rsidRDefault="00555ADD" w:rsidP="00C42FD5">
            <w:pPr>
              <w:jc w:val="left"/>
              <w:rPr>
                <w:rFonts w:cs="Arial"/>
              </w:rPr>
            </w:pPr>
          </w:p>
          <w:p w14:paraId="7B172A64" w14:textId="77777777" w:rsidR="00555ADD" w:rsidRDefault="00555ADD" w:rsidP="00C42FD5">
            <w:pPr>
              <w:jc w:val="left"/>
              <w:rPr>
                <w:rFonts w:cs="Arial"/>
              </w:rPr>
            </w:pPr>
          </w:p>
          <w:p w14:paraId="42C24B6B" w14:textId="77777777" w:rsidR="00555ADD" w:rsidRDefault="00555ADD" w:rsidP="00C42FD5">
            <w:pPr>
              <w:jc w:val="left"/>
              <w:rPr>
                <w:rFonts w:cs="Arial"/>
              </w:rPr>
            </w:pPr>
          </w:p>
          <w:p w14:paraId="32D422E9" w14:textId="77777777" w:rsidR="00555ADD" w:rsidRDefault="00555ADD" w:rsidP="00C42FD5">
            <w:pPr>
              <w:jc w:val="left"/>
              <w:rPr>
                <w:rFonts w:cs="Arial"/>
              </w:rPr>
            </w:pPr>
          </w:p>
          <w:p w14:paraId="0F4C12B9" w14:textId="77777777" w:rsidR="00555ADD" w:rsidRDefault="00555ADD" w:rsidP="00C42FD5">
            <w:pPr>
              <w:jc w:val="left"/>
              <w:rPr>
                <w:rFonts w:cs="Arial"/>
              </w:rPr>
            </w:pPr>
          </w:p>
          <w:p w14:paraId="74770105" w14:textId="77777777" w:rsidR="00555ADD" w:rsidRDefault="00555ADD" w:rsidP="00C42FD5">
            <w:pPr>
              <w:jc w:val="left"/>
              <w:rPr>
                <w:rFonts w:cs="Arial"/>
              </w:rPr>
            </w:pPr>
            <w:r>
              <w:rPr>
                <w:rFonts w:cs="Arial"/>
              </w:rPr>
              <w:t>Royalties</w:t>
            </w:r>
          </w:p>
          <w:p w14:paraId="146F1767" w14:textId="77777777" w:rsidR="00555ADD" w:rsidRPr="000609DD" w:rsidRDefault="00555ADD" w:rsidP="00C42FD5">
            <w:pPr>
              <w:jc w:val="left"/>
              <w:rPr>
                <w:rFonts w:cs="Arial"/>
              </w:rPr>
            </w:pPr>
          </w:p>
        </w:tc>
        <w:tc>
          <w:tcPr>
            <w:tcW w:w="2701" w:type="dxa"/>
          </w:tcPr>
          <w:p w14:paraId="04E18431" w14:textId="77777777" w:rsidR="00555ADD" w:rsidRPr="000609DD" w:rsidRDefault="00555ADD" w:rsidP="00C42FD5">
            <w:pPr>
              <w:jc w:val="left"/>
              <w:rPr>
                <w:rFonts w:cs="Arial"/>
              </w:rPr>
            </w:pPr>
            <w:r>
              <w:rPr>
                <w:rFonts w:cs="Arial"/>
              </w:rPr>
              <w:t>Monthly</w:t>
            </w:r>
          </w:p>
          <w:p w14:paraId="5A990100" w14:textId="77777777" w:rsidR="00555ADD" w:rsidRPr="000609DD" w:rsidRDefault="00555ADD" w:rsidP="00C42FD5">
            <w:pPr>
              <w:jc w:val="left"/>
              <w:rPr>
                <w:rFonts w:cs="Arial"/>
              </w:rPr>
            </w:pPr>
            <w:r w:rsidRPr="000609DD">
              <w:rPr>
                <w:rFonts w:cs="Arial"/>
              </w:rPr>
              <w:t>Yearly / July</w:t>
            </w:r>
          </w:p>
          <w:p w14:paraId="3AC8357E" w14:textId="77777777" w:rsidR="00555ADD" w:rsidRPr="000609DD" w:rsidRDefault="00555ADD" w:rsidP="00C42FD5">
            <w:pPr>
              <w:jc w:val="left"/>
              <w:rPr>
                <w:rFonts w:cs="Arial"/>
              </w:rPr>
            </w:pPr>
            <w:r w:rsidRPr="000609DD">
              <w:rPr>
                <w:rFonts w:cs="Arial"/>
              </w:rPr>
              <w:t>Yearly / October</w:t>
            </w:r>
          </w:p>
          <w:p w14:paraId="2DB8EA1B" w14:textId="77777777" w:rsidR="00555ADD" w:rsidRPr="000609DD" w:rsidRDefault="00555ADD" w:rsidP="00C42FD5">
            <w:pPr>
              <w:jc w:val="left"/>
              <w:rPr>
                <w:rFonts w:cs="Arial"/>
              </w:rPr>
            </w:pPr>
            <w:r>
              <w:rPr>
                <w:rFonts w:cs="Arial"/>
              </w:rPr>
              <w:t>Monthly</w:t>
            </w:r>
          </w:p>
          <w:p w14:paraId="29F9E4A7" w14:textId="77777777" w:rsidR="00555ADD" w:rsidRPr="000609DD" w:rsidRDefault="00555ADD" w:rsidP="00C42FD5">
            <w:pPr>
              <w:jc w:val="left"/>
              <w:rPr>
                <w:rFonts w:cs="Arial"/>
              </w:rPr>
            </w:pPr>
            <w:r>
              <w:rPr>
                <w:rFonts w:cs="Arial"/>
              </w:rPr>
              <w:t>Monthly</w:t>
            </w:r>
          </w:p>
          <w:p w14:paraId="72C5A226" w14:textId="77777777" w:rsidR="00555ADD" w:rsidRDefault="00555ADD" w:rsidP="00C42FD5">
            <w:pPr>
              <w:jc w:val="left"/>
              <w:rPr>
                <w:rFonts w:cs="Arial"/>
              </w:rPr>
            </w:pPr>
            <w:r w:rsidRPr="000609DD">
              <w:rPr>
                <w:rFonts w:cs="Arial"/>
              </w:rPr>
              <w:t>Yearly</w:t>
            </w:r>
            <w:r>
              <w:rPr>
                <w:rFonts w:cs="Arial"/>
              </w:rPr>
              <w:t xml:space="preserve"> / November</w:t>
            </w:r>
          </w:p>
          <w:p w14:paraId="22EA7096" w14:textId="77777777" w:rsidR="00555ADD" w:rsidRDefault="00555ADD" w:rsidP="00C42FD5">
            <w:pPr>
              <w:jc w:val="left"/>
              <w:rPr>
                <w:rFonts w:cs="Arial"/>
              </w:rPr>
            </w:pPr>
          </w:p>
          <w:p w14:paraId="16EDE9CF" w14:textId="77777777" w:rsidR="00555ADD" w:rsidRPr="000609DD" w:rsidRDefault="00555ADD" w:rsidP="00C42FD5">
            <w:pPr>
              <w:jc w:val="left"/>
              <w:rPr>
                <w:rFonts w:cs="Arial"/>
              </w:rPr>
            </w:pPr>
            <w:r>
              <w:rPr>
                <w:rFonts w:cs="Arial"/>
              </w:rPr>
              <w:t>Quarterly</w:t>
            </w:r>
          </w:p>
          <w:p w14:paraId="402F7055" w14:textId="77777777" w:rsidR="00555ADD" w:rsidRPr="000609DD" w:rsidRDefault="00555ADD" w:rsidP="00C42FD5">
            <w:pPr>
              <w:jc w:val="left"/>
              <w:rPr>
                <w:rFonts w:cs="Arial"/>
              </w:rPr>
            </w:pPr>
          </w:p>
        </w:tc>
        <w:tc>
          <w:tcPr>
            <w:tcW w:w="1701" w:type="dxa"/>
          </w:tcPr>
          <w:p w14:paraId="76F54750" w14:textId="77777777" w:rsidR="00555ADD" w:rsidRPr="000609DD" w:rsidRDefault="00555ADD" w:rsidP="00C42FD5">
            <w:pPr>
              <w:jc w:val="left"/>
              <w:rPr>
                <w:rFonts w:cs="Arial"/>
              </w:rPr>
            </w:pPr>
          </w:p>
          <w:p w14:paraId="3ABDD17B" w14:textId="77777777" w:rsidR="00555ADD" w:rsidRPr="000609DD" w:rsidRDefault="00555ADD" w:rsidP="00C42FD5">
            <w:pPr>
              <w:jc w:val="left"/>
              <w:rPr>
                <w:rFonts w:cs="Arial"/>
              </w:rPr>
            </w:pPr>
          </w:p>
          <w:p w14:paraId="4C479E8F" w14:textId="3B6884FF" w:rsidR="00555ADD" w:rsidRDefault="00555ADD" w:rsidP="00C42FD5">
            <w:pPr>
              <w:jc w:val="left"/>
              <w:rPr>
                <w:rFonts w:cs="Arial"/>
              </w:rPr>
            </w:pPr>
            <w:r w:rsidRPr="00D62A9D">
              <w:rPr>
                <w:rFonts w:cs="Arial"/>
              </w:rPr>
              <w:t>Head of Payroll</w:t>
            </w:r>
          </w:p>
          <w:p w14:paraId="729AA1A6" w14:textId="77777777" w:rsidR="00555ADD" w:rsidRDefault="00555ADD" w:rsidP="00C42FD5">
            <w:pPr>
              <w:jc w:val="left"/>
              <w:rPr>
                <w:rFonts w:cs="Arial"/>
              </w:rPr>
            </w:pPr>
          </w:p>
          <w:p w14:paraId="31384502" w14:textId="77777777" w:rsidR="00555ADD" w:rsidRDefault="00555ADD" w:rsidP="00C42FD5">
            <w:pPr>
              <w:jc w:val="left"/>
              <w:rPr>
                <w:rFonts w:cs="Arial"/>
              </w:rPr>
            </w:pPr>
          </w:p>
          <w:p w14:paraId="09F2EB04" w14:textId="77777777" w:rsidR="00555ADD" w:rsidRDefault="00555ADD" w:rsidP="00C42FD5">
            <w:pPr>
              <w:jc w:val="left"/>
              <w:rPr>
                <w:rFonts w:cs="Arial"/>
              </w:rPr>
            </w:pPr>
          </w:p>
          <w:p w14:paraId="23294C02" w14:textId="77777777" w:rsidR="00555ADD" w:rsidRDefault="00555ADD" w:rsidP="00C42FD5">
            <w:pPr>
              <w:jc w:val="left"/>
              <w:rPr>
                <w:rFonts w:cs="Arial"/>
              </w:rPr>
            </w:pPr>
          </w:p>
          <w:p w14:paraId="56BC2030" w14:textId="77485099" w:rsidR="00555ADD" w:rsidRPr="000609DD" w:rsidRDefault="00555ADD" w:rsidP="00C42FD5">
            <w:pPr>
              <w:jc w:val="left"/>
              <w:rPr>
                <w:rFonts w:cs="Arial"/>
              </w:rPr>
            </w:pPr>
            <w:r>
              <w:rPr>
                <w:rFonts w:cs="Arial"/>
              </w:rPr>
              <w:t>Head of Tax</w:t>
            </w:r>
          </w:p>
        </w:tc>
        <w:tc>
          <w:tcPr>
            <w:tcW w:w="1985" w:type="dxa"/>
          </w:tcPr>
          <w:p w14:paraId="3B56576F" w14:textId="0B61F253" w:rsidR="00A80108" w:rsidRPr="009E5880" w:rsidRDefault="006300B2" w:rsidP="00C42FD5">
            <w:pPr>
              <w:jc w:val="left"/>
              <w:rPr>
                <w:rFonts w:cs="Arial"/>
                <w:highlight w:val="yellow"/>
              </w:rPr>
            </w:pPr>
            <w:r>
              <w:t>All filed quarterly on time</w:t>
            </w:r>
          </w:p>
        </w:tc>
      </w:tr>
      <w:bookmarkEnd w:id="14"/>
      <w:tr w:rsidR="00555ADD" w:rsidRPr="000609DD" w14:paraId="0311A649" w14:textId="5D871C33" w:rsidTr="00555ADD">
        <w:trPr>
          <w:cantSplit/>
        </w:trPr>
        <w:tc>
          <w:tcPr>
            <w:tcW w:w="1632" w:type="dxa"/>
          </w:tcPr>
          <w:p w14:paraId="3C091534" w14:textId="77777777" w:rsidR="00555ADD" w:rsidRPr="000609DD" w:rsidRDefault="00555ADD" w:rsidP="00555ADD">
            <w:pPr>
              <w:jc w:val="left"/>
              <w:rPr>
                <w:rFonts w:cs="Arial"/>
              </w:rPr>
            </w:pPr>
            <w:r w:rsidRPr="000609DD">
              <w:rPr>
                <w:rFonts w:cs="Arial"/>
              </w:rPr>
              <w:t>HM Revenue and Customs</w:t>
            </w:r>
          </w:p>
          <w:p w14:paraId="787CFDB1" w14:textId="77777777" w:rsidR="00555ADD" w:rsidRPr="000609DD" w:rsidRDefault="00555ADD" w:rsidP="00C42FD5">
            <w:pPr>
              <w:jc w:val="left"/>
              <w:rPr>
                <w:rFonts w:cs="Arial"/>
              </w:rPr>
            </w:pPr>
          </w:p>
          <w:p w14:paraId="6E1D5A25" w14:textId="77777777" w:rsidR="00555ADD" w:rsidRPr="000609DD" w:rsidRDefault="00555ADD" w:rsidP="00C42FD5">
            <w:pPr>
              <w:jc w:val="left"/>
              <w:rPr>
                <w:rFonts w:cs="Arial"/>
              </w:rPr>
            </w:pPr>
            <w:r w:rsidRPr="000609DD">
              <w:rPr>
                <w:rFonts w:cs="Arial"/>
              </w:rPr>
              <w:t>VAT and other taxes</w:t>
            </w:r>
          </w:p>
        </w:tc>
        <w:tc>
          <w:tcPr>
            <w:tcW w:w="2618" w:type="dxa"/>
          </w:tcPr>
          <w:p w14:paraId="1FCA9B0F" w14:textId="77777777" w:rsidR="00555ADD" w:rsidRPr="000609DD" w:rsidRDefault="00555ADD" w:rsidP="00C42FD5">
            <w:pPr>
              <w:jc w:val="left"/>
              <w:rPr>
                <w:rFonts w:cs="Arial"/>
              </w:rPr>
            </w:pPr>
            <w:r w:rsidRPr="000609DD">
              <w:rPr>
                <w:rFonts w:cs="Arial"/>
              </w:rPr>
              <w:t>VAT return</w:t>
            </w:r>
          </w:p>
          <w:p w14:paraId="3AAB6418" w14:textId="77777777" w:rsidR="00555ADD" w:rsidRPr="000609DD" w:rsidRDefault="00555ADD" w:rsidP="00C42FD5">
            <w:pPr>
              <w:jc w:val="left"/>
              <w:rPr>
                <w:rFonts w:cs="Arial"/>
              </w:rPr>
            </w:pPr>
            <w:r w:rsidRPr="000609DD">
              <w:rPr>
                <w:rFonts w:cs="Arial"/>
              </w:rPr>
              <w:t>CT600E</w:t>
            </w:r>
          </w:p>
          <w:p w14:paraId="1436E71A" w14:textId="317B8B40" w:rsidR="00555ADD" w:rsidRPr="000609DD" w:rsidRDefault="00555ADD" w:rsidP="00C42FD5">
            <w:pPr>
              <w:jc w:val="left"/>
              <w:rPr>
                <w:rFonts w:cs="Arial"/>
              </w:rPr>
            </w:pPr>
            <w:r w:rsidRPr="000609DD">
              <w:rPr>
                <w:rFonts w:cs="Arial"/>
              </w:rPr>
              <w:t>Annual VAT</w:t>
            </w:r>
            <w:r>
              <w:rPr>
                <w:rFonts w:cs="Arial"/>
              </w:rPr>
              <w:t xml:space="preserve"> partial exemption</w:t>
            </w:r>
            <w:r w:rsidRPr="000609DD">
              <w:rPr>
                <w:rFonts w:cs="Arial"/>
              </w:rPr>
              <w:t xml:space="preserve"> and Capital Goods Scheme </w:t>
            </w:r>
            <w:r>
              <w:rPr>
                <w:rFonts w:cs="Arial"/>
              </w:rPr>
              <w:t>calculations</w:t>
            </w:r>
          </w:p>
        </w:tc>
        <w:tc>
          <w:tcPr>
            <w:tcW w:w="2683" w:type="dxa"/>
          </w:tcPr>
          <w:p w14:paraId="648F36C0" w14:textId="77777777" w:rsidR="00555ADD" w:rsidRPr="000609DD" w:rsidRDefault="00555ADD" w:rsidP="00C42FD5">
            <w:pPr>
              <w:jc w:val="left"/>
              <w:rPr>
                <w:rFonts w:cs="Arial"/>
              </w:rPr>
            </w:pPr>
            <w:r w:rsidRPr="000609DD">
              <w:rPr>
                <w:rFonts w:cs="Arial"/>
              </w:rPr>
              <w:t>VAT</w:t>
            </w:r>
          </w:p>
          <w:p w14:paraId="65344ED2" w14:textId="50D25E61" w:rsidR="00555ADD" w:rsidRPr="000609DD" w:rsidRDefault="00555ADD" w:rsidP="00C42FD5">
            <w:pPr>
              <w:jc w:val="left"/>
              <w:rPr>
                <w:rFonts w:cs="Arial"/>
              </w:rPr>
            </w:pPr>
            <w:r w:rsidRPr="000609DD">
              <w:rPr>
                <w:rFonts w:cs="Arial"/>
              </w:rPr>
              <w:t>Charity Corp</w:t>
            </w:r>
            <w:r>
              <w:rPr>
                <w:rFonts w:cs="Arial"/>
              </w:rPr>
              <w:t>oration</w:t>
            </w:r>
            <w:r w:rsidRPr="000609DD">
              <w:rPr>
                <w:rFonts w:cs="Arial"/>
              </w:rPr>
              <w:t xml:space="preserve"> Tax</w:t>
            </w:r>
          </w:p>
          <w:p w14:paraId="22C0BDC9" w14:textId="77777777" w:rsidR="00555ADD" w:rsidRDefault="00555ADD" w:rsidP="00C42FD5">
            <w:pPr>
              <w:jc w:val="left"/>
              <w:rPr>
                <w:rFonts w:cs="Arial"/>
              </w:rPr>
            </w:pPr>
          </w:p>
          <w:p w14:paraId="573D8649" w14:textId="77777777" w:rsidR="00555ADD" w:rsidRDefault="00555ADD" w:rsidP="00C42FD5">
            <w:pPr>
              <w:jc w:val="left"/>
              <w:rPr>
                <w:rFonts w:cs="Arial"/>
              </w:rPr>
            </w:pPr>
            <w:r w:rsidRPr="000609DD">
              <w:rPr>
                <w:rFonts w:cs="Arial"/>
              </w:rPr>
              <w:t>VAT</w:t>
            </w:r>
          </w:p>
          <w:p w14:paraId="6E55762F" w14:textId="77777777" w:rsidR="00555ADD" w:rsidRPr="000609DD" w:rsidRDefault="00555ADD" w:rsidP="00C42FD5">
            <w:pPr>
              <w:jc w:val="left"/>
              <w:rPr>
                <w:rFonts w:cs="Arial"/>
              </w:rPr>
            </w:pPr>
          </w:p>
        </w:tc>
        <w:tc>
          <w:tcPr>
            <w:tcW w:w="2701" w:type="dxa"/>
          </w:tcPr>
          <w:p w14:paraId="68123F63" w14:textId="77777777" w:rsidR="00555ADD" w:rsidRPr="000609DD" w:rsidRDefault="00555ADD" w:rsidP="00C42FD5">
            <w:pPr>
              <w:jc w:val="left"/>
              <w:rPr>
                <w:rFonts w:cs="Arial"/>
              </w:rPr>
            </w:pPr>
            <w:r w:rsidRPr="000609DD">
              <w:rPr>
                <w:rFonts w:cs="Arial"/>
              </w:rPr>
              <w:t>Quarterly</w:t>
            </w:r>
          </w:p>
          <w:p w14:paraId="1F169A00" w14:textId="77777777" w:rsidR="00555ADD" w:rsidRPr="000609DD" w:rsidRDefault="00555ADD" w:rsidP="00C42FD5">
            <w:pPr>
              <w:jc w:val="left"/>
              <w:rPr>
                <w:rFonts w:cs="Arial"/>
              </w:rPr>
            </w:pPr>
            <w:r w:rsidRPr="000609DD">
              <w:rPr>
                <w:rFonts w:cs="Arial"/>
              </w:rPr>
              <w:t>Yearly</w:t>
            </w:r>
            <w:r>
              <w:rPr>
                <w:rFonts w:cs="Arial"/>
              </w:rPr>
              <w:t xml:space="preserve"> / July</w:t>
            </w:r>
          </w:p>
          <w:p w14:paraId="411EAE18" w14:textId="77777777" w:rsidR="00555ADD" w:rsidRDefault="00555ADD" w:rsidP="00C42FD5">
            <w:pPr>
              <w:jc w:val="left"/>
              <w:rPr>
                <w:rFonts w:cs="Arial"/>
              </w:rPr>
            </w:pPr>
          </w:p>
          <w:p w14:paraId="51099C1E" w14:textId="77777777" w:rsidR="00555ADD" w:rsidRPr="000609DD" w:rsidRDefault="00555ADD" w:rsidP="00C42FD5">
            <w:pPr>
              <w:jc w:val="left"/>
              <w:rPr>
                <w:rFonts w:cs="Arial"/>
              </w:rPr>
            </w:pPr>
            <w:r w:rsidRPr="000609DD">
              <w:rPr>
                <w:rFonts w:cs="Arial"/>
              </w:rPr>
              <w:t xml:space="preserve">Yearly </w:t>
            </w:r>
            <w:r>
              <w:rPr>
                <w:rFonts w:cs="Arial"/>
              </w:rPr>
              <w:t>/ January</w:t>
            </w:r>
          </w:p>
          <w:p w14:paraId="78B71D16" w14:textId="77777777" w:rsidR="00555ADD" w:rsidRPr="000609DD" w:rsidRDefault="00555ADD" w:rsidP="00C42FD5">
            <w:pPr>
              <w:jc w:val="left"/>
              <w:rPr>
                <w:rFonts w:cs="Arial"/>
              </w:rPr>
            </w:pPr>
          </w:p>
        </w:tc>
        <w:tc>
          <w:tcPr>
            <w:tcW w:w="1701" w:type="dxa"/>
          </w:tcPr>
          <w:p w14:paraId="23E3CE4E" w14:textId="77777777" w:rsidR="00555ADD" w:rsidRPr="000609DD" w:rsidRDefault="00555ADD" w:rsidP="00C42FD5">
            <w:pPr>
              <w:jc w:val="left"/>
              <w:rPr>
                <w:rFonts w:cs="Arial"/>
              </w:rPr>
            </w:pPr>
          </w:p>
          <w:p w14:paraId="756E3CCE" w14:textId="77777777" w:rsidR="00555ADD" w:rsidRPr="000609DD" w:rsidRDefault="00555ADD" w:rsidP="00C42FD5">
            <w:pPr>
              <w:jc w:val="left"/>
              <w:rPr>
                <w:rFonts w:cs="Arial"/>
              </w:rPr>
            </w:pPr>
          </w:p>
          <w:p w14:paraId="211FAD10" w14:textId="77777777" w:rsidR="00555ADD" w:rsidRPr="000609DD" w:rsidRDefault="00555ADD" w:rsidP="00C42FD5">
            <w:pPr>
              <w:jc w:val="left"/>
              <w:rPr>
                <w:rFonts w:cs="Arial"/>
              </w:rPr>
            </w:pPr>
          </w:p>
          <w:p w14:paraId="573F0CF6" w14:textId="5734FFFF" w:rsidR="00555ADD" w:rsidRPr="000609DD" w:rsidRDefault="00555ADD" w:rsidP="00C42FD5">
            <w:pPr>
              <w:jc w:val="left"/>
              <w:rPr>
                <w:rFonts w:cs="Arial"/>
              </w:rPr>
            </w:pPr>
            <w:r>
              <w:rPr>
                <w:rFonts w:cs="Arial"/>
              </w:rPr>
              <w:t>Head of Tax</w:t>
            </w:r>
          </w:p>
        </w:tc>
        <w:tc>
          <w:tcPr>
            <w:tcW w:w="1985" w:type="dxa"/>
          </w:tcPr>
          <w:p w14:paraId="044B8003" w14:textId="2BE82C4D" w:rsidR="006300B2" w:rsidRDefault="006300B2" w:rsidP="006300B2">
            <w:r>
              <w:t>We don’t file EC sales or intrastate any more so removed from list.</w:t>
            </w:r>
          </w:p>
          <w:p w14:paraId="441F6279" w14:textId="5F7A94CE" w:rsidR="00555ADD" w:rsidRPr="009E5880" w:rsidRDefault="006300B2" w:rsidP="006300B2">
            <w:pPr>
              <w:jc w:val="left"/>
              <w:rPr>
                <w:rFonts w:cs="Arial"/>
                <w:highlight w:val="yellow"/>
              </w:rPr>
            </w:pPr>
            <w:r>
              <w:t>All Group VAT returns are filed, on time.</w:t>
            </w:r>
          </w:p>
        </w:tc>
      </w:tr>
      <w:tr w:rsidR="00555ADD" w:rsidRPr="000609DD" w14:paraId="0309F135" w14:textId="106339EB" w:rsidTr="00555ADD">
        <w:trPr>
          <w:cantSplit/>
        </w:trPr>
        <w:tc>
          <w:tcPr>
            <w:tcW w:w="1632" w:type="dxa"/>
          </w:tcPr>
          <w:p w14:paraId="4C885857" w14:textId="77777777" w:rsidR="00555ADD" w:rsidRPr="000609DD" w:rsidRDefault="00555ADD" w:rsidP="00555ADD">
            <w:pPr>
              <w:jc w:val="left"/>
              <w:rPr>
                <w:rFonts w:cs="Arial"/>
              </w:rPr>
            </w:pPr>
            <w:bookmarkStart w:id="16" w:name="_Hlk132880875"/>
            <w:r w:rsidRPr="000609DD">
              <w:rPr>
                <w:rFonts w:cs="Arial"/>
              </w:rPr>
              <w:t>HM Revenue and Customs</w:t>
            </w:r>
          </w:p>
          <w:p w14:paraId="3DF1C5FF" w14:textId="77777777" w:rsidR="00555ADD" w:rsidRPr="000609DD" w:rsidRDefault="00555ADD" w:rsidP="00C42FD5">
            <w:pPr>
              <w:jc w:val="left"/>
              <w:rPr>
                <w:rFonts w:cs="Arial"/>
              </w:rPr>
            </w:pPr>
          </w:p>
          <w:p w14:paraId="7F458C31" w14:textId="4B333F4C" w:rsidR="00555ADD" w:rsidRPr="000609DD" w:rsidRDefault="00555ADD" w:rsidP="00C42FD5">
            <w:pPr>
              <w:jc w:val="left"/>
              <w:rPr>
                <w:rFonts w:cs="Arial"/>
              </w:rPr>
            </w:pPr>
          </w:p>
        </w:tc>
        <w:tc>
          <w:tcPr>
            <w:tcW w:w="2618" w:type="dxa"/>
          </w:tcPr>
          <w:p w14:paraId="2A203BB9" w14:textId="77777777" w:rsidR="00555ADD" w:rsidRPr="000609DD" w:rsidRDefault="00555ADD" w:rsidP="00C42FD5">
            <w:pPr>
              <w:jc w:val="left"/>
              <w:rPr>
                <w:rFonts w:cs="Arial"/>
              </w:rPr>
            </w:pPr>
          </w:p>
        </w:tc>
        <w:tc>
          <w:tcPr>
            <w:tcW w:w="2683" w:type="dxa"/>
          </w:tcPr>
          <w:p w14:paraId="437A71ED" w14:textId="799DCDE3" w:rsidR="00555ADD" w:rsidRDefault="00555ADD" w:rsidP="00C42FD5">
            <w:pPr>
              <w:jc w:val="left"/>
              <w:rPr>
                <w:rFonts w:cs="Arial"/>
              </w:rPr>
            </w:pPr>
            <w:r w:rsidRPr="000609DD">
              <w:rPr>
                <w:rFonts w:cs="Arial"/>
              </w:rPr>
              <w:t>Accounting for tax return</w:t>
            </w:r>
          </w:p>
          <w:p w14:paraId="35F06D09" w14:textId="7C76B299" w:rsidR="00555ADD" w:rsidRDefault="00555ADD" w:rsidP="00C42FD5">
            <w:pPr>
              <w:jc w:val="left"/>
              <w:rPr>
                <w:rFonts w:cs="Arial"/>
              </w:rPr>
            </w:pPr>
          </w:p>
          <w:p w14:paraId="70AE9E4D" w14:textId="77777777" w:rsidR="00555ADD" w:rsidRPr="000609DD" w:rsidRDefault="00555ADD" w:rsidP="00C42FD5">
            <w:pPr>
              <w:jc w:val="left"/>
              <w:rPr>
                <w:rFonts w:cs="Arial"/>
              </w:rPr>
            </w:pPr>
          </w:p>
          <w:p w14:paraId="59E3C210" w14:textId="4CEBD602" w:rsidR="00555ADD" w:rsidRDefault="00555ADD" w:rsidP="00C42FD5">
            <w:pPr>
              <w:jc w:val="left"/>
              <w:rPr>
                <w:rFonts w:cs="Arial"/>
              </w:rPr>
            </w:pPr>
            <w:r>
              <w:rPr>
                <w:rFonts w:cs="Arial"/>
              </w:rPr>
              <w:t>Overseas transfers</w:t>
            </w:r>
          </w:p>
          <w:p w14:paraId="1198D3E1" w14:textId="77777777" w:rsidR="00555ADD" w:rsidRPr="000609DD" w:rsidRDefault="00555ADD" w:rsidP="00C42FD5">
            <w:pPr>
              <w:jc w:val="left"/>
              <w:rPr>
                <w:rFonts w:cs="Arial"/>
              </w:rPr>
            </w:pPr>
          </w:p>
        </w:tc>
        <w:tc>
          <w:tcPr>
            <w:tcW w:w="2701" w:type="dxa"/>
          </w:tcPr>
          <w:p w14:paraId="30FC8456" w14:textId="77777777" w:rsidR="00555ADD" w:rsidRPr="000609DD" w:rsidRDefault="00555ADD" w:rsidP="00C42FD5">
            <w:pPr>
              <w:jc w:val="left"/>
              <w:rPr>
                <w:rFonts w:cs="Arial"/>
              </w:rPr>
            </w:pPr>
            <w:r w:rsidRPr="000609DD">
              <w:rPr>
                <w:rFonts w:cs="Arial"/>
              </w:rPr>
              <w:t>Quarterly</w:t>
            </w:r>
          </w:p>
          <w:p w14:paraId="24F93879" w14:textId="77777777" w:rsidR="00555ADD" w:rsidRDefault="00555ADD" w:rsidP="00C42FD5">
            <w:pPr>
              <w:jc w:val="left"/>
              <w:rPr>
                <w:rFonts w:cs="Arial"/>
              </w:rPr>
            </w:pPr>
          </w:p>
          <w:p w14:paraId="5CE77920" w14:textId="77777777" w:rsidR="00555ADD" w:rsidRDefault="00555ADD" w:rsidP="00C42FD5">
            <w:pPr>
              <w:jc w:val="left"/>
              <w:rPr>
                <w:rFonts w:cs="Arial"/>
              </w:rPr>
            </w:pPr>
          </w:p>
          <w:p w14:paraId="626DB19B" w14:textId="23FFE7AA" w:rsidR="00555ADD" w:rsidRPr="000609DD" w:rsidRDefault="00555ADD" w:rsidP="00C42FD5">
            <w:pPr>
              <w:jc w:val="left"/>
              <w:rPr>
                <w:rFonts w:cs="Arial"/>
              </w:rPr>
            </w:pPr>
            <w:r w:rsidRPr="00555ADD">
              <w:rPr>
                <w:rFonts w:cs="Arial"/>
              </w:rPr>
              <w:t>Individually for each transfer</w:t>
            </w:r>
          </w:p>
        </w:tc>
        <w:tc>
          <w:tcPr>
            <w:tcW w:w="1701" w:type="dxa"/>
          </w:tcPr>
          <w:p w14:paraId="71A7376C" w14:textId="15464C8B" w:rsidR="00555ADD" w:rsidRPr="000609DD" w:rsidRDefault="00555ADD" w:rsidP="00C42FD5">
            <w:pPr>
              <w:jc w:val="left"/>
              <w:rPr>
                <w:rFonts w:cs="Arial"/>
              </w:rPr>
            </w:pPr>
            <w:r>
              <w:rPr>
                <w:rFonts w:cs="Arial"/>
              </w:rPr>
              <w:t>Head of Pensions</w:t>
            </w:r>
          </w:p>
        </w:tc>
        <w:tc>
          <w:tcPr>
            <w:tcW w:w="1985" w:type="dxa"/>
          </w:tcPr>
          <w:p w14:paraId="1D272D84" w14:textId="52BB4D4E" w:rsidR="00F204EE" w:rsidRPr="009E5880" w:rsidRDefault="00621CF1" w:rsidP="00C42FD5">
            <w:pPr>
              <w:jc w:val="left"/>
              <w:rPr>
                <w:rFonts w:cs="Arial"/>
                <w:highlight w:val="yellow"/>
              </w:rPr>
            </w:pPr>
            <w:r w:rsidRPr="00067207">
              <w:rPr>
                <w:rFonts w:cs="Arial"/>
              </w:rPr>
              <w:t>All Completed on time with no issues</w:t>
            </w:r>
          </w:p>
        </w:tc>
      </w:tr>
      <w:bookmarkEnd w:id="16"/>
      <w:tr w:rsidR="00555ADD" w:rsidRPr="000609DD" w14:paraId="2460B96F" w14:textId="3D038860" w:rsidTr="00555ADD">
        <w:trPr>
          <w:cantSplit/>
        </w:trPr>
        <w:tc>
          <w:tcPr>
            <w:tcW w:w="1632" w:type="dxa"/>
          </w:tcPr>
          <w:p w14:paraId="2F771FF9" w14:textId="77777777" w:rsidR="00555ADD" w:rsidRDefault="00555ADD" w:rsidP="00C42FD5">
            <w:pPr>
              <w:jc w:val="left"/>
              <w:rPr>
                <w:rFonts w:cs="Arial"/>
              </w:rPr>
            </w:pPr>
            <w:r>
              <w:rPr>
                <w:rFonts w:cs="Arial"/>
              </w:rPr>
              <w:lastRenderedPageBreak/>
              <w:t>Overseas</w:t>
            </w:r>
          </w:p>
          <w:p w14:paraId="08126343" w14:textId="77777777" w:rsidR="00555ADD" w:rsidRDefault="00555ADD" w:rsidP="00C42FD5">
            <w:pPr>
              <w:jc w:val="left"/>
              <w:rPr>
                <w:rFonts w:cs="Arial"/>
              </w:rPr>
            </w:pPr>
            <w:r>
              <w:rPr>
                <w:rFonts w:cs="Arial"/>
              </w:rPr>
              <w:t>USA</w:t>
            </w:r>
          </w:p>
          <w:p w14:paraId="4476B69D" w14:textId="77777777" w:rsidR="00555ADD" w:rsidRDefault="00555ADD" w:rsidP="00C42FD5">
            <w:pPr>
              <w:jc w:val="left"/>
              <w:rPr>
                <w:rFonts w:cs="Arial"/>
              </w:rPr>
            </w:pPr>
          </w:p>
          <w:p w14:paraId="1E632B8B" w14:textId="77777777" w:rsidR="00555ADD" w:rsidRDefault="00555ADD" w:rsidP="00C42FD5">
            <w:pPr>
              <w:jc w:val="left"/>
              <w:rPr>
                <w:rFonts w:cs="Arial"/>
              </w:rPr>
            </w:pPr>
          </w:p>
          <w:p w14:paraId="2CAF1C40" w14:textId="482068D9" w:rsidR="00555ADD" w:rsidRPr="000609DD" w:rsidRDefault="00555ADD" w:rsidP="00C42FD5">
            <w:pPr>
              <w:jc w:val="left"/>
              <w:rPr>
                <w:rFonts w:cs="Arial"/>
              </w:rPr>
            </w:pPr>
            <w:r>
              <w:rPr>
                <w:rFonts w:cs="Arial"/>
              </w:rPr>
              <w:t>HMRC</w:t>
            </w:r>
          </w:p>
        </w:tc>
        <w:tc>
          <w:tcPr>
            <w:tcW w:w="2618" w:type="dxa"/>
          </w:tcPr>
          <w:p w14:paraId="54DB845D" w14:textId="77777777" w:rsidR="00555ADD" w:rsidRDefault="00555ADD" w:rsidP="00C42FD5">
            <w:pPr>
              <w:jc w:val="left"/>
              <w:rPr>
                <w:rFonts w:cs="Arial"/>
              </w:rPr>
            </w:pPr>
          </w:p>
          <w:p w14:paraId="0471CEB6" w14:textId="77777777" w:rsidR="00555ADD" w:rsidRDefault="00555ADD" w:rsidP="00C42FD5">
            <w:pPr>
              <w:jc w:val="left"/>
              <w:rPr>
                <w:rFonts w:cs="Arial"/>
              </w:rPr>
            </w:pPr>
            <w:r w:rsidRPr="000609DD">
              <w:rPr>
                <w:rFonts w:cs="Arial"/>
              </w:rPr>
              <w:t>US Tax return</w:t>
            </w:r>
          </w:p>
          <w:p w14:paraId="6B99F22F" w14:textId="77777777" w:rsidR="00555ADD" w:rsidRDefault="00555ADD" w:rsidP="00C42FD5">
            <w:pPr>
              <w:jc w:val="left"/>
              <w:rPr>
                <w:rFonts w:cs="Arial"/>
              </w:rPr>
            </w:pPr>
          </w:p>
          <w:p w14:paraId="26A1ADD1" w14:textId="77777777" w:rsidR="00555ADD" w:rsidRDefault="00555ADD" w:rsidP="00AC5CDA">
            <w:pPr>
              <w:jc w:val="left"/>
              <w:rPr>
                <w:rFonts w:cs="Arial"/>
              </w:rPr>
            </w:pPr>
          </w:p>
          <w:p w14:paraId="279BB03D" w14:textId="3C125708" w:rsidR="00555ADD" w:rsidRPr="000609DD" w:rsidRDefault="00555ADD" w:rsidP="00AC5CDA">
            <w:pPr>
              <w:jc w:val="left"/>
              <w:rPr>
                <w:rFonts w:cs="Arial"/>
              </w:rPr>
            </w:pPr>
            <w:r w:rsidRPr="00FF5304">
              <w:rPr>
                <w:rFonts w:cs="Arial"/>
              </w:rPr>
              <w:t>Corporation Tax</w:t>
            </w:r>
            <w:r>
              <w:rPr>
                <w:rFonts w:cs="Arial"/>
              </w:rPr>
              <w:t xml:space="preserve"> (CT600</w:t>
            </w:r>
            <w:r w:rsidRPr="00FF5304">
              <w:rPr>
                <w:rFonts w:cs="Arial"/>
              </w:rPr>
              <w:t xml:space="preserve">) </w:t>
            </w:r>
          </w:p>
        </w:tc>
        <w:tc>
          <w:tcPr>
            <w:tcW w:w="2683" w:type="dxa"/>
          </w:tcPr>
          <w:p w14:paraId="1AC4DDD1" w14:textId="77777777" w:rsidR="00555ADD" w:rsidRDefault="00555ADD" w:rsidP="00C42FD5">
            <w:pPr>
              <w:jc w:val="left"/>
              <w:rPr>
                <w:rFonts w:cs="Arial"/>
              </w:rPr>
            </w:pPr>
          </w:p>
          <w:p w14:paraId="0D7E639C" w14:textId="77777777" w:rsidR="00555ADD" w:rsidRDefault="00555ADD" w:rsidP="00C42FD5">
            <w:pPr>
              <w:jc w:val="left"/>
              <w:rPr>
                <w:rFonts w:cs="Arial"/>
              </w:rPr>
            </w:pPr>
            <w:r w:rsidRPr="000609DD">
              <w:rPr>
                <w:rFonts w:cs="Arial"/>
              </w:rPr>
              <w:t>Corporation Tax</w:t>
            </w:r>
          </w:p>
          <w:p w14:paraId="722BD736" w14:textId="77777777" w:rsidR="00555ADD" w:rsidRDefault="00555ADD" w:rsidP="00C42FD5">
            <w:pPr>
              <w:jc w:val="left"/>
              <w:rPr>
                <w:rFonts w:cs="Arial"/>
              </w:rPr>
            </w:pPr>
          </w:p>
          <w:p w14:paraId="421D0000" w14:textId="77777777" w:rsidR="00555ADD" w:rsidRDefault="00555ADD" w:rsidP="00C42FD5">
            <w:pPr>
              <w:jc w:val="left"/>
              <w:rPr>
                <w:rFonts w:cs="Arial"/>
              </w:rPr>
            </w:pPr>
          </w:p>
          <w:p w14:paraId="16EC24E3" w14:textId="3ED9BC63" w:rsidR="00555ADD" w:rsidRDefault="00555ADD" w:rsidP="00C42FD5">
            <w:pPr>
              <w:jc w:val="left"/>
              <w:rPr>
                <w:rFonts w:cs="Arial"/>
              </w:rPr>
            </w:pPr>
            <w:r>
              <w:rPr>
                <w:rFonts w:cs="Arial"/>
              </w:rPr>
              <w:t>Corporation Tax (subsidiary companies)</w:t>
            </w:r>
          </w:p>
          <w:p w14:paraId="0A92842C" w14:textId="77777777" w:rsidR="00555ADD" w:rsidRDefault="00555ADD" w:rsidP="00C42FD5">
            <w:pPr>
              <w:jc w:val="left"/>
              <w:rPr>
                <w:rFonts w:cs="Arial"/>
              </w:rPr>
            </w:pPr>
          </w:p>
          <w:p w14:paraId="7C4FCC16" w14:textId="07B668F0" w:rsidR="00621CF1" w:rsidRPr="000609DD" w:rsidRDefault="00621CF1" w:rsidP="00C42FD5">
            <w:pPr>
              <w:jc w:val="left"/>
              <w:rPr>
                <w:rFonts w:cs="Arial"/>
              </w:rPr>
            </w:pPr>
            <w:r>
              <w:rPr>
                <w:rFonts w:cs="Arial"/>
              </w:rPr>
              <w:t>Corporation Tax (LLP’s and Joint Ventures)</w:t>
            </w:r>
          </w:p>
        </w:tc>
        <w:tc>
          <w:tcPr>
            <w:tcW w:w="2701" w:type="dxa"/>
          </w:tcPr>
          <w:p w14:paraId="1C556DF7" w14:textId="77777777" w:rsidR="00555ADD" w:rsidRDefault="00555ADD" w:rsidP="00C42FD5">
            <w:pPr>
              <w:jc w:val="left"/>
              <w:rPr>
                <w:rFonts w:cs="Arial"/>
              </w:rPr>
            </w:pPr>
          </w:p>
          <w:p w14:paraId="14686DE1" w14:textId="41FA8A57" w:rsidR="00555ADD" w:rsidRDefault="00555ADD" w:rsidP="00C42FD5">
            <w:pPr>
              <w:jc w:val="left"/>
              <w:rPr>
                <w:rFonts w:cs="Arial"/>
              </w:rPr>
            </w:pPr>
            <w:r w:rsidRPr="000609DD">
              <w:rPr>
                <w:rFonts w:cs="Arial"/>
              </w:rPr>
              <w:t>Yearly</w:t>
            </w:r>
            <w:r>
              <w:rPr>
                <w:rFonts w:cs="Arial"/>
              </w:rPr>
              <w:t xml:space="preserve"> / June</w:t>
            </w:r>
          </w:p>
          <w:p w14:paraId="1BB04318" w14:textId="77777777" w:rsidR="00555ADD" w:rsidRDefault="00555ADD" w:rsidP="00C42FD5">
            <w:pPr>
              <w:jc w:val="left"/>
              <w:rPr>
                <w:rFonts w:cs="Arial"/>
              </w:rPr>
            </w:pPr>
          </w:p>
          <w:p w14:paraId="200F0A48" w14:textId="77777777" w:rsidR="00555ADD" w:rsidRDefault="00555ADD" w:rsidP="00C42FD5">
            <w:pPr>
              <w:jc w:val="left"/>
              <w:rPr>
                <w:rFonts w:cs="Arial"/>
              </w:rPr>
            </w:pPr>
          </w:p>
          <w:p w14:paraId="540AA118" w14:textId="076746AD" w:rsidR="00555ADD" w:rsidRDefault="00555ADD" w:rsidP="00C42FD5">
            <w:pPr>
              <w:jc w:val="left"/>
              <w:rPr>
                <w:rFonts w:cs="Arial"/>
              </w:rPr>
            </w:pPr>
            <w:r>
              <w:rPr>
                <w:rFonts w:cs="Arial"/>
              </w:rPr>
              <w:t>Yearly</w:t>
            </w:r>
          </w:p>
          <w:p w14:paraId="36D30A75" w14:textId="77777777" w:rsidR="00555ADD" w:rsidRPr="000609DD" w:rsidRDefault="00555ADD" w:rsidP="00C42FD5">
            <w:pPr>
              <w:jc w:val="left"/>
              <w:rPr>
                <w:rFonts w:cs="Arial"/>
              </w:rPr>
            </w:pPr>
          </w:p>
        </w:tc>
        <w:tc>
          <w:tcPr>
            <w:tcW w:w="1701" w:type="dxa"/>
          </w:tcPr>
          <w:p w14:paraId="59450431" w14:textId="77777777" w:rsidR="00555ADD" w:rsidRDefault="00555ADD" w:rsidP="00C42FD5">
            <w:pPr>
              <w:jc w:val="left"/>
              <w:rPr>
                <w:rFonts w:cs="Arial"/>
              </w:rPr>
            </w:pPr>
          </w:p>
          <w:p w14:paraId="7A551A2F" w14:textId="34C1319C" w:rsidR="00555ADD" w:rsidRDefault="00555ADD" w:rsidP="00C42FD5">
            <w:pPr>
              <w:jc w:val="left"/>
              <w:rPr>
                <w:rFonts w:cs="Arial"/>
              </w:rPr>
            </w:pPr>
            <w:r>
              <w:rPr>
                <w:rFonts w:cs="Arial"/>
              </w:rPr>
              <w:t xml:space="preserve">Head of Tax </w:t>
            </w:r>
          </w:p>
          <w:p w14:paraId="7E384E68" w14:textId="77777777" w:rsidR="00555ADD" w:rsidRDefault="00555ADD" w:rsidP="00C42FD5">
            <w:pPr>
              <w:jc w:val="left"/>
              <w:rPr>
                <w:rFonts w:cs="Arial"/>
              </w:rPr>
            </w:pPr>
          </w:p>
          <w:p w14:paraId="370087A9" w14:textId="77777777" w:rsidR="00555ADD" w:rsidRDefault="00555ADD" w:rsidP="00FF5304">
            <w:pPr>
              <w:jc w:val="left"/>
              <w:rPr>
                <w:rFonts w:cs="Arial"/>
              </w:rPr>
            </w:pPr>
          </w:p>
          <w:p w14:paraId="2823B292" w14:textId="310F6774" w:rsidR="00555ADD" w:rsidRDefault="00555ADD" w:rsidP="00FF5304">
            <w:pPr>
              <w:jc w:val="left"/>
              <w:rPr>
                <w:rFonts w:cs="Arial"/>
              </w:rPr>
            </w:pPr>
            <w:r>
              <w:rPr>
                <w:rFonts w:cs="Arial"/>
              </w:rPr>
              <w:t xml:space="preserve">Head of Tax </w:t>
            </w:r>
          </w:p>
          <w:p w14:paraId="3F334850" w14:textId="768A0661" w:rsidR="00555ADD" w:rsidRPr="000609DD" w:rsidRDefault="00555ADD" w:rsidP="00C42FD5">
            <w:pPr>
              <w:jc w:val="left"/>
              <w:rPr>
                <w:rFonts w:cs="Arial"/>
              </w:rPr>
            </w:pPr>
          </w:p>
        </w:tc>
        <w:tc>
          <w:tcPr>
            <w:tcW w:w="1985" w:type="dxa"/>
          </w:tcPr>
          <w:p w14:paraId="2D69F743" w14:textId="77777777" w:rsidR="00555ADD" w:rsidRPr="009E5880" w:rsidRDefault="00555ADD" w:rsidP="00C42FD5">
            <w:pPr>
              <w:jc w:val="left"/>
              <w:rPr>
                <w:rFonts w:cs="Arial"/>
                <w:highlight w:val="yellow"/>
              </w:rPr>
            </w:pPr>
          </w:p>
          <w:p w14:paraId="4EB2C502" w14:textId="77777777" w:rsidR="006300B2" w:rsidRDefault="006300B2" w:rsidP="006300B2">
            <w:r>
              <w:t xml:space="preserve">The US990 is filed on time but currently the </w:t>
            </w:r>
            <w:r w:rsidRPr="006300B2">
              <w:rPr>
                <w:highlight w:val="yellow"/>
              </w:rPr>
              <w:t>US990T is yet to be filed.</w:t>
            </w:r>
          </w:p>
          <w:p w14:paraId="00890A67" w14:textId="3B3CB039" w:rsidR="00621CF1" w:rsidRPr="009E5880" w:rsidRDefault="006300B2" w:rsidP="006300B2">
            <w:pPr>
              <w:jc w:val="left"/>
              <w:rPr>
                <w:rFonts w:cs="Arial"/>
                <w:highlight w:val="yellow"/>
              </w:rPr>
            </w:pPr>
            <w:r>
              <w:t xml:space="preserve">The </w:t>
            </w:r>
            <w:proofErr w:type="gramStart"/>
            <w:r>
              <w:t>CT  returns</w:t>
            </w:r>
            <w:proofErr w:type="gramEnd"/>
            <w:r>
              <w:t xml:space="preserve"> for the University and all subs are filed on time.</w:t>
            </w:r>
          </w:p>
        </w:tc>
      </w:tr>
      <w:tr w:rsidR="00555ADD" w:rsidRPr="000609DD" w14:paraId="52A786A9" w14:textId="7C19DB84" w:rsidTr="00555ADD">
        <w:trPr>
          <w:cantSplit/>
        </w:trPr>
        <w:tc>
          <w:tcPr>
            <w:tcW w:w="1632" w:type="dxa"/>
          </w:tcPr>
          <w:p w14:paraId="2DB68AA7" w14:textId="1B4118E8" w:rsidR="00555ADD" w:rsidRPr="000609DD" w:rsidRDefault="00555ADD" w:rsidP="00C42FD5">
            <w:pPr>
              <w:jc w:val="left"/>
              <w:rPr>
                <w:rFonts w:cs="Arial"/>
              </w:rPr>
            </w:pPr>
            <w:proofErr w:type="spellStart"/>
            <w:r>
              <w:rPr>
                <w:rFonts w:cs="Arial"/>
              </w:rPr>
              <w:t>Ofs</w:t>
            </w:r>
            <w:proofErr w:type="spellEnd"/>
          </w:p>
        </w:tc>
        <w:tc>
          <w:tcPr>
            <w:tcW w:w="2618" w:type="dxa"/>
          </w:tcPr>
          <w:p w14:paraId="4EF1F7E7" w14:textId="77777777" w:rsidR="00555ADD" w:rsidRPr="000609DD" w:rsidRDefault="00555ADD" w:rsidP="00C42FD5">
            <w:pPr>
              <w:jc w:val="left"/>
              <w:rPr>
                <w:rFonts w:cs="Arial"/>
              </w:rPr>
            </w:pPr>
            <w:r w:rsidRPr="000609DD">
              <w:rPr>
                <w:rFonts w:cs="Arial"/>
              </w:rPr>
              <w:t>Finance Return</w:t>
            </w:r>
          </w:p>
        </w:tc>
        <w:tc>
          <w:tcPr>
            <w:tcW w:w="2683" w:type="dxa"/>
          </w:tcPr>
          <w:p w14:paraId="33C04933" w14:textId="77777777" w:rsidR="00555ADD" w:rsidRPr="000609DD" w:rsidRDefault="00555ADD" w:rsidP="00C42FD5">
            <w:pPr>
              <w:jc w:val="left"/>
              <w:rPr>
                <w:rFonts w:cs="Arial"/>
              </w:rPr>
            </w:pPr>
            <w:r w:rsidRPr="000609DD">
              <w:rPr>
                <w:rFonts w:cs="Arial"/>
              </w:rPr>
              <w:t>Statistical/Financial</w:t>
            </w:r>
          </w:p>
        </w:tc>
        <w:tc>
          <w:tcPr>
            <w:tcW w:w="2701" w:type="dxa"/>
          </w:tcPr>
          <w:p w14:paraId="0955F363" w14:textId="66B7DB9F" w:rsidR="00555ADD" w:rsidRPr="00A67693" w:rsidRDefault="00555ADD" w:rsidP="00E0241A">
            <w:pPr>
              <w:jc w:val="left"/>
              <w:rPr>
                <w:rFonts w:cs="Arial"/>
              </w:rPr>
            </w:pPr>
            <w:r w:rsidRPr="00A67693">
              <w:rPr>
                <w:rFonts w:cs="Arial"/>
              </w:rPr>
              <w:t>Yearly / December</w:t>
            </w:r>
            <w:r w:rsidR="00CD5B04" w:rsidRPr="00A67693">
              <w:rPr>
                <w:rFonts w:cs="Arial"/>
              </w:rPr>
              <w:t xml:space="preserve"> </w:t>
            </w:r>
          </w:p>
        </w:tc>
        <w:tc>
          <w:tcPr>
            <w:tcW w:w="1701" w:type="dxa"/>
          </w:tcPr>
          <w:p w14:paraId="4166D323" w14:textId="770A291A" w:rsidR="00555ADD" w:rsidRPr="00A67693" w:rsidRDefault="00555ADD" w:rsidP="00C42FD5">
            <w:pPr>
              <w:jc w:val="left"/>
              <w:rPr>
                <w:rFonts w:cs="Arial"/>
              </w:rPr>
            </w:pPr>
            <w:r w:rsidRPr="00A67693">
              <w:rPr>
                <w:rFonts w:cs="Arial"/>
              </w:rPr>
              <w:t>Director of Technical Accounting &amp; Reporting</w:t>
            </w:r>
          </w:p>
        </w:tc>
        <w:tc>
          <w:tcPr>
            <w:tcW w:w="1985" w:type="dxa"/>
          </w:tcPr>
          <w:p w14:paraId="20BECC12" w14:textId="77777777" w:rsidR="00555ADD" w:rsidRPr="00A67693" w:rsidRDefault="00555ADD" w:rsidP="00C42FD5">
            <w:pPr>
              <w:jc w:val="left"/>
              <w:rPr>
                <w:rFonts w:cs="Arial"/>
              </w:rPr>
            </w:pPr>
            <w:r w:rsidRPr="00A67693">
              <w:rPr>
                <w:rFonts w:cs="Arial"/>
              </w:rPr>
              <w:t xml:space="preserve">Completed </w:t>
            </w:r>
          </w:p>
        </w:tc>
      </w:tr>
      <w:tr w:rsidR="00555ADD" w:rsidRPr="000609DD" w14:paraId="2B83DC5B" w14:textId="40BE3EA9" w:rsidTr="00555ADD">
        <w:trPr>
          <w:cantSplit/>
        </w:trPr>
        <w:tc>
          <w:tcPr>
            <w:tcW w:w="1632" w:type="dxa"/>
          </w:tcPr>
          <w:p w14:paraId="7FE5DD1A" w14:textId="69E840B9" w:rsidR="00555ADD" w:rsidRPr="00A67693" w:rsidRDefault="00555ADD" w:rsidP="00C42FD5">
            <w:pPr>
              <w:jc w:val="left"/>
              <w:rPr>
                <w:rFonts w:cs="Arial"/>
              </w:rPr>
            </w:pPr>
            <w:r w:rsidRPr="00A67693">
              <w:rPr>
                <w:rFonts w:cs="Arial"/>
              </w:rPr>
              <w:t>OfS</w:t>
            </w:r>
          </w:p>
        </w:tc>
        <w:tc>
          <w:tcPr>
            <w:tcW w:w="2618" w:type="dxa"/>
          </w:tcPr>
          <w:p w14:paraId="76CD5252" w14:textId="77777777" w:rsidR="00555ADD" w:rsidRPr="00A67693" w:rsidRDefault="00555ADD" w:rsidP="00C42FD5">
            <w:pPr>
              <w:jc w:val="left"/>
              <w:rPr>
                <w:rFonts w:cs="Arial"/>
              </w:rPr>
            </w:pPr>
            <w:r w:rsidRPr="00A67693">
              <w:rPr>
                <w:rFonts w:cs="Arial"/>
              </w:rPr>
              <w:t>Financial Statements</w:t>
            </w:r>
          </w:p>
          <w:p w14:paraId="3DDC18B6" w14:textId="77777777" w:rsidR="00555ADD" w:rsidRPr="00A67693" w:rsidRDefault="00555ADD" w:rsidP="00C42FD5">
            <w:pPr>
              <w:jc w:val="left"/>
              <w:rPr>
                <w:rFonts w:cs="Arial"/>
              </w:rPr>
            </w:pPr>
            <w:r w:rsidRPr="00A67693">
              <w:rPr>
                <w:rFonts w:cs="Arial"/>
              </w:rPr>
              <w:t>Financial Commentary</w:t>
            </w:r>
          </w:p>
        </w:tc>
        <w:tc>
          <w:tcPr>
            <w:tcW w:w="2683" w:type="dxa"/>
          </w:tcPr>
          <w:p w14:paraId="663E9428" w14:textId="77777777" w:rsidR="00555ADD" w:rsidRPr="00A67693" w:rsidRDefault="00555ADD" w:rsidP="00C42FD5">
            <w:pPr>
              <w:jc w:val="left"/>
              <w:rPr>
                <w:rFonts w:cs="Arial"/>
              </w:rPr>
            </w:pPr>
            <w:r w:rsidRPr="00A67693">
              <w:rPr>
                <w:rFonts w:cs="Arial"/>
              </w:rPr>
              <w:t>Statistical/Financial</w:t>
            </w:r>
          </w:p>
          <w:p w14:paraId="09C6A01F" w14:textId="77777777" w:rsidR="00555ADD" w:rsidRPr="00A67693" w:rsidRDefault="00555ADD" w:rsidP="00C42FD5">
            <w:pPr>
              <w:jc w:val="left"/>
              <w:rPr>
                <w:rFonts w:cs="Arial"/>
              </w:rPr>
            </w:pPr>
            <w:r w:rsidRPr="00A67693">
              <w:rPr>
                <w:rFonts w:cs="Arial"/>
              </w:rPr>
              <w:t>Financial</w:t>
            </w:r>
          </w:p>
        </w:tc>
        <w:tc>
          <w:tcPr>
            <w:tcW w:w="2701" w:type="dxa"/>
          </w:tcPr>
          <w:p w14:paraId="33D924FF" w14:textId="77777777" w:rsidR="00555ADD" w:rsidRPr="00A67693" w:rsidRDefault="00555ADD" w:rsidP="00C42FD5">
            <w:pPr>
              <w:jc w:val="left"/>
              <w:rPr>
                <w:rFonts w:cs="Arial"/>
              </w:rPr>
            </w:pPr>
            <w:r w:rsidRPr="00A67693">
              <w:rPr>
                <w:rFonts w:cs="Arial"/>
              </w:rPr>
              <w:t>Yearly / November</w:t>
            </w:r>
          </w:p>
          <w:p w14:paraId="2C6D2B98" w14:textId="77777777" w:rsidR="00555ADD" w:rsidRPr="00A67693" w:rsidRDefault="00555ADD" w:rsidP="00C42FD5">
            <w:pPr>
              <w:jc w:val="left"/>
              <w:rPr>
                <w:rFonts w:cs="Arial"/>
              </w:rPr>
            </w:pPr>
            <w:r w:rsidRPr="00A67693">
              <w:rPr>
                <w:rFonts w:cs="Arial"/>
              </w:rPr>
              <w:t>Yearly / December</w:t>
            </w:r>
          </w:p>
        </w:tc>
        <w:tc>
          <w:tcPr>
            <w:tcW w:w="1701" w:type="dxa"/>
          </w:tcPr>
          <w:p w14:paraId="4FF1E383" w14:textId="77777777" w:rsidR="002F6954" w:rsidRPr="00A67693" w:rsidRDefault="00555ADD" w:rsidP="00D62A9D">
            <w:pPr>
              <w:jc w:val="left"/>
              <w:rPr>
                <w:rFonts w:cs="Arial"/>
              </w:rPr>
            </w:pPr>
            <w:r w:rsidRPr="00A67693">
              <w:rPr>
                <w:rFonts w:cs="Arial"/>
              </w:rPr>
              <w:t xml:space="preserve">Director of Technical Accounting &amp; Reporting </w:t>
            </w:r>
          </w:p>
          <w:p w14:paraId="7AAE053E" w14:textId="32ABBCD6" w:rsidR="00555ADD" w:rsidRPr="00A67693" w:rsidRDefault="002F6954">
            <w:pPr>
              <w:jc w:val="left"/>
              <w:rPr>
                <w:rFonts w:cs="Arial"/>
              </w:rPr>
            </w:pPr>
            <w:r w:rsidRPr="00A67693">
              <w:rPr>
                <w:rFonts w:cs="Arial"/>
              </w:rPr>
              <w:t xml:space="preserve">Head of </w:t>
            </w:r>
            <w:r w:rsidR="00555ADD" w:rsidRPr="00A67693">
              <w:rPr>
                <w:rFonts w:cs="Arial"/>
              </w:rPr>
              <w:t xml:space="preserve">Financial Planning &amp; </w:t>
            </w:r>
            <w:r w:rsidRPr="00A67693">
              <w:rPr>
                <w:rFonts w:cs="Arial"/>
              </w:rPr>
              <w:t>Analysis</w:t>
            </w:r>
          </w:p>
        </w:tc>
        <w:tc>
          <w:tcPr>
            <w:tcW w:w="1985" w:type="dxa"/>
          </w:tcPr>
          <w:p w14:paraId="010C185C" w14:textId="2958DAE5" w:rsidR="00555ADD" w:rsidRPr="00A67693" w:rsidRDefault="00555ADD" w:rsidP="00C42FD5">
            <w:pPr>
              <w:jc w:val="left"/>
              <w:rPr>
                <w:rFonts w:cs="Arial"/>
              </w:rPr>
            </w:pPr>
            <w:r w:rsidRPr="00A67693">
              <w:rPr>
                <w:rFonts w:cs="Arial"/>
              </w:rPr>
              <w:t>Completed</w:t>
            </w:r>
          </w:p>
          <w:p w14:paraId="480F2636" w14:textId="77777777" w:rsidR="00555ADD" w:rsidRPr="00A67693" w:rsidRDefault="00555ADD" w:rsidP="00C42FD5">
            <w:pPr>
              <w:jc w:val="left"/>
              <w:rPr>
                <w:rFonts w:cs="Arial"/>
              </w:rPr>
            </w:pPr>
            <w:r w:rsidRPr="00A67693">
              <w:rPr>
                <w:rFonts w:cs="Arial"/>
              </w:rPr>
              <w:t>Completed</w:t>
            </w:r>
          </w:p>
          <w:p w14:paraId="0839C694" w14:textId="77777777" w:rsidR="00555ADD" w:rsidRPr="00A67693" w:rsidRDefault="00555ADD" w:rsidP="00C42FD5">
            <w:pPr>
              <w:jc w:val="left"/>
              <w:rPr>
                <w:rFonts w:cs="Arial"/>
              </w:rPr>
            </w:pPr>
          </w:p>
        </w:tc>
      </w:tr>
      <w:tr w:rsidR="00555ADD" w:rsidRPr="000609DD" w14:paraId="57F21D4B" w14:textId="2B4B930D" w:rsidTr="00555ADD">
        <w:trPr>
          <w:cantSplit/>
        </w:trPr>
        <w:tc>
          <w:tcPr>
            <w:tcW w:w="1632" w:type="dxa"/>
          </w:tcPr>
          <w:p w14:paraId="7CA9588F" w14:textId="60E71A9C" w:rsidR="00555ADD" w:rsidRPr="000609DD" w:rsidRDefault="00555ADD" w:rsidP="00C42FD5">
            <w:pPr>
              <w:jc w:val="left"/>
              <w:rPr>
                <w:rFonts w:cs="Arial"/>
              </w:rPr>
            </w:pPr>
            <w:bookmarkStart w:id="17" w:name="_Hlk132881759"/>
            <w:r>
              <w:rPr>
                <w:rFonts w:cs="Arial"/>
              </w:rPr>
              <w:t>OfS</w:t>
            </w:r>
          </w:p>
        </w:tc>
        <w:tc>
          <w:tcPr>
            <w:tcW w:w="2618" w:type="dxa"/>
          </w:tcPr>
          <w:p w14:paraId="07B76D6C" w14:textId="77777777" w:rsidR="00555ADD" w:rsidRPr="000609DD" w:rsidRDefault="00555ADD" w:rsidP="00C42FD5">
            <w:pPr>
              <w:jc w:val="left"/>
              <w:rPr>
                <w:rFonts w:cs="Arial"/>
              </w:rPr>
            </w:pPr>
            <w:r w:rsidRPr="000609DD">
              <w:rPr>
                <w:rFonts w:cs="Arial"/>
              </w:rPr>
              <w:t>Procurement Survey</w:t>
            </w:r>
          </w:p>
        </w:tc>
        <w:tc>
          <w:tcPr>
            <w:tcW w:w="2683" w:type="dxa"/>
          </w:tcPr>
          <w:p w14:paraId="22ED8B4C" w14:textId="023C13E2" w:rsidR="00555ADD" w:rsidRDefault="00555ADD" w:rsidP="00C42FD5">
            <w:pPr>
              <w:jc w:val="left"/>
            </w:pPr>
            <w:r w:rsidRPr="00C7749C">
              <w:t>Procurement Value Survey</w:t>
            </w:r>
            <w:r>
              <w:t xml:space="preserve"> </w:t>
            </w:r>
          </w:p>
          <w:p w14:paraId="0E05ABE5" w14:textId="77777777" w:rsidR="00555ADD" w:rsidRPr="000609DD" w:rsidRDefault="00555ADD" w:rsidP="00C42FD5">
            <w:pPr>
              <w:jc w:val="left"/>
              <w:rPr>
                <w:rFonts w:cs="Arial"/>
              </w:rPr>
            </w:pPr>
            <w:r w:rsidRPr="000609DD">
              <w:t>Best Practice Indicator (BPI)</w:t>
            </w:r>
          </w:p>
        </w:tc>
        <w:tc>
          <w:tcPr>
            <w:tcW w:w="2701" w:type="dxa"/>
          </w:tcPr>
          <w:p w14:paraId="0AA01609" w14:textId="77777777" w:rsidR="00555ADD" w:rsidRPr="000609DD" w:rsidRDefault="00555ADD" w:rsidP="00C42FD5">
            <w:pPr>
              <w:jc w:val="left"/>
              <w:rPr>
                <w:rFonts w:cs="Arial"/>
              </w:rPr>
            </w:pPr>
            <w:r w:rsidRPr="000609DD">
              <w:rPr>
                <w:rFonts w:cs="Arial"/>
              </w:rPr>
              <w:t>Yearly</w:t>
            </w:r>
            <w:r>
              <w:rPr>
                <w:rFonts w:cs="Arial"/>
              </w:rPr>
              <w:t xml:space="preserve"> / January</w:t>
            </w:r>
          </w:p>
        </w:tc>
        <w:tc>
          <w:tcPr>
            <w:tcW w:w="1701" w:type="dxa"/>
          </w:tcPr>
          <w:p w14:paraId="756B8508" w14:textId="1E130AC4" w:rsidR="00555ADD" w:rsidRPr="000609DD" w:rsidRDefault="00555ADD" w:rsidP="00C42FD5">
            <w:pPr>
              <w:jc w:val="left"/>
              <w:rPr>
                <w:rFonts w:cs="Arial"/>
              </w:rPr>
            </w:pPr>
            <w:r w:rsidRPr="00D62A9D">
              <w:rPr>
                <w:rFonts w:cs="Arial"/>
              </w:rPr>
              <w:t xml:space="preserve">Director of Purchasing </w:t>
            </w:r>
          </w:p>
        </w:tc>
        <w:tc>
          <w:tcPr>
            <w:tcW w:w="1985" w:type="dxa"/>
          </w:tcPr>
          <w:p w14:paraId="38DB810A" w14:textId="4A5F3BCD" w:rsidR="00555ADD" w:rsidRPr="009E5880" w:rsidRDefault="005C62A8" w:rsidP="00C42FD5">
            <w:pPr>
              <w:jc w:val="left"/>
              <w:rPr>
                <w:rFonts w:cs="Arial"/>
                <w:highlight w:val="yellow"/>
              </w:rPr>
            </w:pPr>
            <w:r w:rsidRPr="006300B2">
              <w:rPr>
                <w:rFonts w:cs="Arial"/>
              </w:rPr>
              <w:t>Completed</w:t>
            </w:r>
          </w:p>
        </w:tc>
      </w:tr>
      <w:tr w:rsidR="00555ADD" w:rsidRPr="000609DD" w14:paraId="72782DBD" w14:textId="17185EF7" w:rsidTr="00555ADD">
        <w:trPr>
          <w:cantSplit/>
        </w:trPr>
        <w:tc>
          <w:tcPr>
            <w:tcW w:w="1632" w:type="dxa"/>
          </w:tcPr>
          <w:p w14:paraId="7E5ABD14" w14:textId="75E07D57" w:rsidR="00555ADD" w:rsidRPr="000609DD" w:rsidRDefault="00555ADD" w:rsidP="00C42FD5">
            <w:pPr>
              <w:jc w:val="left"/>
              <w:rPr>
                <w:rFonts w:cs="Arial"/>
              </w:rPr>
            </w:pPr>
            <w:bookmarkStart w:id="18" w:name="_Hlk132881869"/>
            <w:bookmarkEnd w:id="17"/>
            <w:r>
              <w:rPr>
                <w:rFonts w:cs="Arial"/>
              </w:rPr>
              <w:t>OfS</w:t>
            </w:r>
          </w:p>
        </w:tc>
        <w:tc>
          <w:tcPr>
            <w:tcW w:w="2618" w:type="dxa"/>
          </w:tcPr>
          <w:p w14:paraId="7A14AB9D" w14:textId="77777777" w:rsidR="00555ADD" w:rsidRPr="000609DD" w:rsidRDefault="00555ADD" w:rsidP="00C42FD5">
            <w:pPr>
              <w:jc w:val="left"/>
              <w:rPr>
                <w:rFonts w:cs="Arial"/>
              </w:rPr>
            </w:pPr>
            <w:r>
              <w:rPr>
                <w:rFonts w:cs="Arial"/>
              </w:rPr>
              <w:t>TRAC and TRAC (T)</w:t>
            </w:r>
          </w:p>
        </w:tc>
        <w:tc>
          <w:tcPr>
            <w:tcW w:w="2683" w:type="dxa"/>
          </w:tcPr>
          <w:p w14:paraId="06088FEA" w14:textId="77777777" w:rsidR="00555ADD" w:rsidRPr="000609DD" w:rsidRDefault="00555ADD" w:rsidP="00C42FD5">
            <w:pPr>
              <w:jc w:val="left"/>
              <w:rPr>
                <w:rFonts w:cs="Arial"/>
              </w:rPr>
            </w:pPr>
            <w:r>
              <w:rPr>
                <w:rFonts w:cs="Arial"/>
              </w:rPr>
              <w:t>Cost information for research and teaching analyses</w:t>
            </w:r>
          </w:p>
        </w:tc>
        <w:tc>
          <w:tcPr>
            <w:tcW w:w="2701" w:type="dxa"/>
          </w:tcPr>
          <w:p w14:paraId="1185AA73" w14:textId="77777777" w:rsidR="00555ADD" w:rsidRPr="000609DD" w:rsidRDefault="00555ADD" w:rsidP="00C42FD5">
            <w:pPr>
              <w:jc w:val="left"/>
              <w:rPr>
                <w:rFonts w:cs="Arial"/>
              </w:rPr>
            </w:pPr>
            <w:r>
              <w:rPr>
                <w:rFonts w:cs="Arial"/>
              </w:rPr>
              <w:t>Yearly / January</w:t>
            </w:r>
          </w:p>
        </w:tc>
        <w:tc>
          <w:tcPr>
            <w:tcW w:w="1701" w:type="dxa"/>
          </w:tcPr>
          <w:p w14:paraId="4FE8B839" w14:textId="06C8FF11" w:rsidR="00555ADD" w:rsidRPr="000609DD" w:rsidRDefault="002F6954">
            <w:pPr>
              <w:jc w:val="left"/>
              <w:rPr>
                <w:rFonts w:cs="Arial"/>
              </w:rPr>
            </w:pPr>
            <w:r>
              <w:rPr>
                <w:rFonts w:cs="Arial"/>
              </w:rPr>
              <w:t xml:space="preserve">Head of </w:t>
            </w:r>
            <w:r w:rsidR="00555ADD" w:rsidRPr="00D62A9D">
              <w:rPr>
                <w:rFonts w:cs="Arial"/>
              </w:rPr>
              <w:t xml:space="preserve">Financial Planning &amp; Analysis </w:t>
            </w:r>
          </w:p>
        </w:tc>
        <w:tc>
          <w:tcPr>
            <w:tcW w:w="1985" w:type="dxa"/>
          </w:tcPr>
          <w:p w14:paraId="2DF03042" w14:textId="77777777" w:rsidR="00555ADD" w:rsidRPr="009E5880" w:rsidRDefault="00555ADD" w:rsidP="00C42FD5">
            <w:pPr>
              <w:jc w:val="left"/>
              <w:rPr>
                <w:rFonts w:cs="Arial"/>
                <w:highlight w:val="yellow"/>
              </w:rPr>
            </w:pPr>
            <w:r w:rsidRPr="006300B2">
              <w:rPr>
                <w:rFonts w:cs="Arial"/>
              </w:rPr>
              <w:t>Completed</w:t>
            </w:r>
          </w:p>
        </w:tc>
      </w:tr>
      <w:bookmarkEnd w:id="18"/>
      <w:tr w:rsidR="00555ADD" w:rsidRPr="000609DD" w14:paraId="3019C3A8" w14:textId="1E60313B" w:rsidTr="00555ADD">
        <w:trPr>
          <w:cantSplit/>
        </w:trPr>
        <w:tc>
          <w:tcPr>
            <w:tcW w:w="1632" w:type="dxa"/>
          </w:tcPr>
          <w:p w14:paraId="077F9CBB" w14:textId="040A077A" w:rsidR="00555ADD" w:rsidRPr="000609DD" w:rsidRDefault="00555ADD" w:rsidP="00C42FD5">
            <w:pPr>
              <w:jc w:val="left"/>
              <w:rPr>
                <w:rFonts w:cs="Arial"/>
              </w:rPr>
            </w:pPr>
            <w:r>
              <w:rPr>
                <w:rFonts w:cs="Arial"/>
              </w:rPr>
              <w:lastRenderedPageBreak/>
              <w:t>OfS</w:t>
            </w:r>
          </w:p>
        </w:tc>
        <w:tc>
          <w:tcPr>
            <w:tcW w:w="2618" w:type="dxa"/>
          </w:tcPr>
          <w:p w14:paraId="45AC6928" w14:textId="77777777" w:rsidR="00555ADD" w:rsidRPr="000609DD" w:rsidRDefault="00555ADD" w:rsidP="00C42FD5">
            <w:pPr>
              <w:jc w:val="left"/>
              <w:rPr>
                <w:rFonts w:cs="Arial"/>
              </w:rPr>
            </w:pPr>
            <w:r>
              <w:rPr>
                <w:rFonts w:cs="Arial"/>
              </w:rPr>
              <w:t>Financial Results and Forecasts</w:t>
            </w:r>
          </w:p>
        </w:tc>
        <w:tc>
          <w:tcPr>
            <w:tcW w:w="2683" w:type="dxa"/>
          </w:tcPr>
          <w:p w14:paraId="024AF85B" w14:textId="77777777" w:rsidR="00555ADD" w:rsidRPr="000609DD" w:rsidRDefault="00555ADD" w:rsidP="00C42FD5">
            <w:pPr>
              <w:jc w:val="left"/>
              <w:rPr>
                <w:rFonts w:cs="Arial"/>
              </w:rPr>
            </w:pPr>
            <w:r>
              <w:rPr>
                <w:rFonts w:cs="Arial"/>
              </w:rPr>
              <w:t>Statistical/Financial</w:t>
            </w:r>
          </w:p>
        </w:tc>
        <w:tc>
          <w:tcPr>
            <w:tcW w:w="2701" w:type="dxa"/>
          </w:tcPr>
          <w:p w14:paraId="0837E8CC" w14:textId="64C32B8F" w:rsidR="00555ADD" w:rsidRPr="000609DD" w:rsidRDefault="00CD5B04" w:rsidP="002D3193">
            <w:pPr>
              <w:jc w:val="left"/>
              <w:rPr>
                <w:rFonts w:cs="Arial"/>
              </w:rPr>
            </w:pPr>
            <w:r>
              <w:rPr>
                <w:rFonts w:cs="Arial"/>
              </w:rPr>
              <w:t>Yearly/ Dec</w:t>
            </w:r>
            <w:r w:rsidR="00555ADD">
              <w:rPr>
                <w:rFonts w:cs="Arial"/>
              </w:rPr>
              <w:t>ember</w:t>
            </w:r>
            <w:r>
              <w:rPr>
                <w:rFonts w:cs="Arial"/>
              </w:rPr>
              <w:t xml:space="preserve"> (extended to February 2021 for 20</w:t>
            </w:r>
            <w:r w:rsidR="002D3193">
              <w:rPr>
                <w:rFonts w:cs="Arial"/>
              </w:rPr>
              <w:t>20/21</w:t>
            </w:r>
            <w:r>
              <w:rPr>
                <w:rFonts w:cs="Arial"/>
              </w:rPr>
              <w:t xml:space="preserve"> due to COVID-19)</w:t>
            </w:r>
          </w:p>
        </w:tc>
        <w:tc>
          <w:tcPr>
            <w:tcW w:w="1701" w:type="dxa"/>
          </w:tcPr>
          <w:p w14:paraId="63EA7FDF" w14:textId="250FFD0C" w:rsidR="00555ADD" w:rsidRPr="000609DD" w:rsidRDefault="002F6954">
            <w:pPr>
              <w:jc w:val="left"/>
              <w:rPr>
                <w:rFonts w:cs="Arial"/>
              </w:rPr>
            </w:pPr>
            <w:r>
              <w:rPr>
                <w:rFonts w:cs="Arial"/>
              </w:rPr>
              <w:t xml:space="preserve">Head of </w:t>
            </w:r>
            <w:r w:rsidR="00555ADD" w:rsidRPr="00D62A9D">
              <w:rPr>
                <w:rFonts w:cs="Arial"/>
              </w:rPr>
              <w:t xml:space="preserve">Financial Planning &amp; Analysis </w:t>
            </w:r>
          </w:p>
        </w:tc>
        <w:tc>
          <w:tcPr>
            <w:tcW w:w="1985" w:type="dxa"/>
          </w:tcPr>
          <w:p w14:paraId="36387CD5" w14:textId="32C092C2" w:rsidR="00555ADD" w:rsidRPr="009E5880" w:rsidRDefault="00555ADD" w:rsidP="00C42FD5">
            <w:pPr>
              <w:jc w:val="left"/>
              <w:rPr>
                <w:rFonts w:cs="Arial"/>
                <w:highlight w:val="yellow"/>
              </w:rPr>
            </w:pPr>
            <w:r w:rsidRPr="00A67693">
              <w:rPr>
                <w:rFonts w:cs="Arial"/>
              </w:rPr>
              <w:t>Completed</w:t>
            </w:r>
            <w:r w:rsidR="00A67693">
              <w:rPr>
                <w:rFonts w:cs="Arial"/>
              </w:rPr>
              <w:t xml:space="preserve"> – resubmission of 20/21 was made. Some queries were made from OfS and all responded too. </w:t>
            </w:r>
          </w:p>
        </w:tc>
      </w:tr>
      <w:tr w:rsidR="00555ADD" w:rsidRPr="000609DD" w14:paraId="45895BEB" w14:textId="13741D53" w:rsidTr="00555ADD">
        <w:trPr>
          <w:cantSplit/>
        </w:trPr>
        <w:tc>
          <w:tcPr>
            <w:tcW w:w="1632" w:type="dxa"/>
          </w:tcPr>
          <w:p w14:paraId="6773DA6C" w14:textId="77777777" w:rsidR="00555ADD" w:rsidRPr="000609DD" w:rsidRDefault="00555ADD" w:rsidP="00C42FD5">
            <w:pPr>
              <w:jc w:val="left"/>
              <w:rPr>
                <w:rFonts w:cs="Arial"/>
              </w:rPr>
            </w:pPr>
            <w:r w:rsidRPr="000609DD">
              <w:rPr>
                <w:rFonts w:cs="Arial"/>
              </w:rPr>
              <w:t>The Pensions Regulator</w:t>
            </w:r>
          </w:p>
        </w:tc>
        <w:tc>
          <w:tcPr>
            <w:tcW w:w="2618" w:type="dxa"/>
          </w:tcPr>
          <w:p w14:paraId="628F4BA1" w14:textId="77777777" w:rsidR="00555ADD" w:rsidRPr="000609DD" w:rsidRDefault="00555ADD" w:rsidP="00C42FD5">
            <w:pPr>
              <w:jc w:val="left"/>
              <w:rPr>
                <w:rFonts w:cs="Arial"/>
              </w:rPr>
            </w:pPr>
          </w:p>
        </w:tc>
        <w:tc>
          <w:tcPr>
            <w:tcW w:w="2683" w:type="dxa"/>
          </w:tcPr>
          <w:p w14:paraId="2E555CFF" w14:textId="77777777" w:rsidR="00555ADD" w:rsidRPr="000609DD" w:rsidRDefault="00555ADD" w:rsidP="00C42FD5">
            <w:pPr>
              <w:jc w:val="left"/>
              <w:rPr>
                <w:rFonts w:cs="Arial"/>
              </w:rPr>
            </w:pPr>
            <w:r w:rsidRPr="000609DD">
              <w:rPr>
                <w:rFonts w:cs="Arial"/>
              </w:rPr>
              <w:t>Pension scheme return</w:t>
            </w:r>
          </w:p>
        </w:tc>
        <w:tc>
          <w:tcPr>
            <w:tcW w:w="2701" w:type="dxa"/>
          </w:tcPr>
          <w:p w14:paraId="1BDD5FA2" w14:textId="70F732C7" w:rsidR="00555ADD" w:rsidRPr="000609DD" w:rsidRDefault="00555ADD" w:rsidP="00C42FD5">
            <w:pPr>
              <w:jc w:val="left"/>
              <w:rPr>
                <w:rFonts w:cs="Arial"/>
              </w:rPr>
            </w:pPr>
            <w:r w:rsidRPr="000609DD">
              <w:rPr>
                <w:rFonts w:cs="Arial"/>
              </w:rPr>
              <w:t>Yearly</w:t>
            </w:r>
            <w:r>
              <w:rPr>
                <w:rFonts w:cs="Arial"/>
              </w:rPr>
              <w:t xml:space="preserve"> / February</w:t>
            </w:r>
          </w:p>
        </w:tc>
        <w:tc>
          <w:tcPr>
            <w:tcW w:w="1701" w:type="dxa"/>
          </w:tcPr>
          <w:p w14:paraId="16AA77C9" w14:textId="40728DC2" w:rsidR="00555ADD" w:rsidRPr="000609DD" w:rsidRDefault="00555ADD" w:rsidP="00C42FD5">
            <w:pPr>
              <w:jc w:val="left"/>
              <w:rPr>
                <w:rFonts w:cs="Arial"/>
              </w:rPr>
            </w:pPr>
            <w:r>
              <w:rPr>
                <w:rFonts w:cs="Arial"/>
              </w:rPr>
              <w:t>Head of Pensions</w:t>
            </w:r>
          </w:p>
        </w:tc>
        <w:tc>
          <w:tcPr>
            <w:tcW w:w="1985" w:type="dxa"/>
          </w:tcPr>
          <w:p w14:paraId="24C21AC2" w14:textId="5CC8F06D" w:rsidR="00555ADD" w:rsidRPr="009E5880" w:rsidRDefault="002D7D06" w:rsidP="001E1680">
            <w:pPr>
              <w:jc w:val="left"/>
              <w:rPr>
                <w:rFonts w:cs="Arial"/>
                <w:i/>
                <w:highlight w:val="yellow"/>
              </w:rPr>
            </w:pPr>
            <w:r w:rsidRPr="00067207">
              <w:rPr>
                <w:rFonts w:cs="Arial"/>
              </w:rPr>
              <w:t>Completed</w:t>
            </w:r>
          </w:p>
        </w:tc>
      </w:tr>
      <w:tr w:rsidR="00555ADD" w:rsidRPr="000609DD" w14:paraId="1E8FB3D6" w14:textId="5356D3C7" w:rsidTr="00555ADD">
        <w:trPr>
          <w:cantSplit/>
        </w:trPr>
        <w:tc>
          <w:tcPr>
            <w:tcW w:w="1632" w:type="dxa"/>
          </w:tcPr>
          <w:p w14:paraId="41981F3C" w14:textId="77777777" w:rsidR="00555ADD" w:rsidRPr="000609DD" w:rsidRDefault="00555ADD" w:rsidP="00C42FD5">
            <w:pPr>
              <w:jc w:val="left"/>
              <w:rPr>
                <w:rFonts w:cs="Arial"/>
              </w:rPr>
            </w:pPr>
            <w:bookmarkStart w:id="19" w:name="_Hlk132880929"/>
            <w:r w:rsidRPr="000609DD">
              <w:rPr>
                <w:rFonts w:cs="Arial"/>
              </w:rPr>
              <w:t>Office of National Statistics</w:t>
            </w:r>
          </w:p>
        </w:tc>
        <w:tc>
          <w:tcPr>
            <w:tcW w:w="2618" w:type="dxa"/>
          </w:tcPr>
          <w:p w14:paraId="7B155816" w14:textId="77777777" w:rsidR="00555ADD" w:rsidRDefault="00555ADD" w:rsidP="00C42FD5">
            <w:pPr>
              <w:jc w:val="left"/>
              <w:rPr>
                <w:rFonts w:cs="Arial"/>
              </w:rPr>
            </w:pPr>
            <w:r w:rsidRPr="000609DD">
              <w:rPr>
                <w:rFonts w:cs="Arial"/>
              </w:rPr>
              <w:t>Various</w:t>
            </w:r>
          </w:p>
          <w:p w14:paraId="503504A4" w14:textId="77777777" w:rsidR="00555ADD" w:rsidRDefault="00555ADD" w:rsidP="00C42FD5">
            <w:pPr>
              <w:jc w:val="left"/>
              <w:rPr>
                <w:rFonts w:cs="Arial"/>
              </w:rPr>
            </w:pPr>
          </w:p>
          <w:p w14:paraId="55357E81" w14:textId="77777777" w:rsidR="00555ADD" w:rsidRDefault="00555ADD" w:rsidP="00C42FD5">
            <w:pPr>
              <w:jc w:val="left"/>
              <w:rPr>
                <w:rFonts w:cs="Arial"/>
              </w:rPr>
            </w:pPr>
          </w:p>
          <w:p w14:paraId="03F32AF9" w14:textId="44784680" w:rsidR="00555ADD" w:rsidRPr="000609DD" w:rsidRDefault="00555ADD" w:rsidP="00C42FD5">
            <w:pPr>
              <w:jc w:val="left"/>
              <w:rPr>
                <w:rFonts w:cs="Arial"/>
              </w:rPr>
            </w:pPr>
          </w:p>
        </w:tc>
        <w:tc>
          <w:tcPr>
            <w:tcW w:w="2683" w:type="dxa"/>
          </w:tcPr>
          <w:p w14:paraId="615F2588" w14:textId="77777777" w:rsidR="00555ADD" w:rsidRDefault="00555ADD" w:rsidP="00C42FD5">
            <w:pPr>
              <w:jc w:val="left"/>
              <w:rPr>
                <w:rFonts w:cs="Arial"/>
              </w:rPr>
            </w:pPr>
            <w:r w:rsidRPr="000609DD">
              <w:rPr>
                <w:rFonts w:cs="Arial"/>
              </w:rPr>
              <w:t>Statistical/Financial</w:t>
            </w:r>
          </w:p>
          <w:p w14:paraId="67A71476" w14:textId="77777777" w:rsidR="00555ADD" w:rsidRDefault="00555ADD" w:rsidP="00C42FD5">
            <w:pPr>
              <w:jc w:val="left"/>
              <w:rPr>
                <w:rFonts w:cs="Arial"/>
              </w:rPr>
            </w:pPr>
          </w:p>
          <w:p w14:paraId="6AD8E088" w14:textId="4012B52C" w:rsidR="00555ADD" w:rsidRDefault="00555ADD" w:rsidP="00C42FD5">
            <w:pPr>
              <w:jc w:val="left"/>
              <w:rPr>
                <w:rFonts w:cs="Arial"/>
              </w:rPr>
            </w:pPr>
          </w:p>
          <w:p w14:paraId="28BD36A6" w14:textId="21D9FDC1" w:rsidR="001A3D49" w:rsidRDefault="001A3D49" w:rsidP="00C42FD5">
            <w:pPr>
              <w:jc w:val="left"/>
              <w:rPr>
                <w:rFonts w:cs="Arial"/>
              </w:rPr>
            </w:pPr>
          </w:p>
          <w:p w14:paraId="42E8A0CA" w14:textId="77777777" w:rsidR="001A3D49" w:rsidRDefault="001A3D49" w:rsidP="00C42FD5">
            <w:pPr>
              <w:jc w:val="left"/>
              <w:rPr>
                <w:rFonts w:cs="Arial"/>
              </w:rPr>
            </w:pPr>
          </w:p>
          <w:p w14:paraId="22C454B2" w14:textId="460CC8EC" w:rsidR="00555ADD" w:rsidRPr="000609DD" w:rsidRDefault="00555ADD" w:rsidP="00C42FD5">
            <w:pPr>
              <w:jc w:val="left"/>
              <w:rPr>
                <w:rFonts w:cs="Arial"/>
              </w:rPr>
            </w:pPr>
            <w:r>
              <w:rPr>
                <w:rFonts w:cs="Arial"/>
              </w:rPr>
              <w:t>Pensions</w:t>
            </w:r>
          </w:p>
        </w:tc>
        <w:tc>
          <w:tcPr>
            <w:tcW w:w="2701" w:type="dxa"/>
          </w:tcPr>
          <w:p w14:paraId="60F1FA04" w14:textId="1A2F5E6F" w:rsidR="00555ADD" w:rsidRDefault="00555ADD" w:rsidP="00C42FD5">
            <w:pPr>
              <w:jc w:val="left"/>
              <w:rPr>
                <w:rFonts w:cs="Arial"/>
              </w:rPr>
            </w:pPr>
            <w:r w:rsidRPr="000609DD">
              <w:rPr>
                <w:rFonts w:cs="Arial"/>
              </w:rPr>
              <w:t>Yearly / various</w:t>
            </w:r>
          </w:p>
          <w:p w14:paraId="26467B21" w14:textId="24EDBB8D" w:rsidR="00555ADD" w:rsidRDefault="00555ADD" w:rsidP="00C42FD5">
            <w:pPr>
              <w:jc w:val="left"/>
              <w:rPr>
                <w:rFonts w:cs="Arial"/>
              </w:rPr>
            </w:pPr>
          </w:p>
          <w:p w14:paraId="4F40D63E" w14:textId="69277674" w:rsidR="00555ADD" w:rsidRDefault="00555ADD" w:rsidP="00C42FD5">
            <w:pPr>
              <w:jc w:val="left"/>
              <w:rPr>
                <w:rFonts w:cs="Arial"/>
              </w:rPr>
            </w:pPr>
          </w:p>
          <w:p w14:paraId="29F834BB" w14:textId="77777777" w:rsidR="001A3D49" w:rsidRDefault="001A3D49" w:rsidP="00C42FD5">
            <w:pPr>
              <w:jc w:val="left"/>
              <w:rPr>
                <w:rFonts w:cs="Arial"/>
              </w:rPr>
            </w:pPr>
          </w:p>
          <w:p w14:paraId="00503B25" w14:textId="77777777" w:rsidR="001A3D49" w:rsidRDefault="001A3D49" w:rsidP="00C42FD5">
            <w:pPr>
              <w:jc w:val="left"/>
              <w:rPr>
                <w:rFonts w:cs="Arial"/>
              </w:rPr>
            </w:pPr>
          </w:p>
          <w:p w14:paraId="1700B3E3" w14:textId="4D1DC5A4" w:rsidR="00555ADD" w:rsidRPr="000609DD" w:rsidRDefault="00555ADD" w:rsidP="00C42FD5">
            <w:pPr>
              <w:jc w:val="left"/>
              <w:rPr>
                <w:rFonts w:cs="Arial"/>
              </w:rPr>
            </w:pPr>
            <w:r>
              <w:rPr>
                <w:rFonts w:cs="Arial"/>
              </w:rPr>
              <w:t>Yearly and Quarterly</w:t>
            </w:r>
          </w:p>
          <w:p w14:paraId="3E1164FD" w14:textId="77777777" w:rsidR="00555ADD" w:rsidRPr="000609DD" w:rsidRDefault="00555ADD" w:rsidP="00C42FD5">
            <w:pPr>
              <w:jc w:val="left"/>
              <w:rPr>
                <w:rFonts w:cs="Arial"/>
              </w:rPr>
            </w:pPr>
          </w:p>
        </w:tc>
        <w:tc>
          <w:tcPr>
            <w:tcW w:w="1701" w:type="dxa"/>
          </w:tcPr>
          <w:p w14:paraId="73AD51C3" w14:textId="77777777" w:rsidR="001A3D49" w:rsidRDefault="001A3D49" w:rsidP="001A3D49">
            <w:pPr>
              <w:jc w:val="left"/>
              <w:rPr>
                <w:rFonts w:cs="Arial"/>
              </w:rPr>
            </w:pPr>
            <w:r w:rsidRPr="00D63569">
              <w:rPr>
                <w:rFonts w:cs="Arial"/>
              </w:rPr>
              <w:t xml:space="preserve">Director of Technical Accounting &amp; Reporting </w:t>
            </w:r>
          </w:p>
          <w:p w14:paraId="2AA94D8F" w14:textId="77777777" w:rsidR="00555ADD" w:rsidRDefault="00555ADD" w:rsidP="00C42FD5">
            <w:pPr>
              <w:jc w:val="left"/>
              <w:rPr>
                <w:rFonts w:cs="Arial"/>
              </w:rPr>
            </w:pPr>
          </w:p>
          <w:p w14:paraId="3C5C0937" w14:textId="074423D7" w:rsidR="00555ADD" w:rsidRPr="000609DD" w:rsidRDefault="00555ADD" w:rsidP="00C42FD5">
            <w:pPr>
              <w:jc w:val="left"/>
              <w:rPr>
                <w:rFonts w:cs="Arial"/>
              </w:rPr>
            </w:pPr>
            <w:r>
              <w:rPr>
                <w:rFonts w:cs="Arial"/>
              </w:rPr>
              <w:t>Head of Pensions</w:t>
            </w:r>
          </w:p>
        </w:tc>
        <w:tc>
          <w:tcPr>
            <w:tcW w:w="1985" w:type="dxa"/>
          </w:tcPr>
          <w:p w14:paraId="6834007E" w14:textId="1020DE91" w:rsidR="00555ADD" w:rsidRPr="00A67693" w:rsidRDefault="00555ADD" w:rsidP="00C42FD5">
            <w:pPr>
              <w:jc w:val="left"/>
              <w:rPr>
                <w:rFonts w:cs="Arial"/>
              </w:rPr>
            </w:pPr>
            <w:r w:rsidRPr="00A67693">
              <w:rPr>
                <w:rFonts w:cs="Arial"/>
              </w:rPr>
              <w:t>Completed as required</w:t>
            </w:r>
          </w:p>
          <w:p w14:paraId="58072CF4" w14:textId="6D56AA8B" w:rsidR="00555ADD" w:rsidRPr="009E5880" w:rsidRDefault="00555ADD" w:rsidP="00C42FD5">
            <w:pPr>
              <w:jc w:val="left"/>
              <w:rPr>
                <w:rFonts w:cs="Arial"/>
                <w:highlight w:val="yellow"/>
              </w:rPr>
            </w:pPr>
          </w:p>
          <w:p w14:paraId="30D98E15" w14:textId="790B5767" w:rsidR="00F204EE" w:rsidRPr="009E5880" w:rsidRDefault="00F204EE" w:rsidP="00C42FD5">
            <w:pPr>
              <w:jc w:val="left"/>
              <w:rPr>
                <w:rFonts w:cs="Arial"/>
                <w:highlight w:val="yellow"/>
              </w:rPr>
            </w:pPr>
          </w:p>
          <w:p w14:paraId="4325078C" w14:textId="2332E4CF" w:rsidR="00F204EE" w:rsidRPr="009E5880" w:rsidRDefault="00F204EE" w:rsidP="00C42FD5">
            <w:pPr>
              <w:jc w:val="left"/>
              <w:rPr>
                <w:rFonts w:cs="Arial"/>
                <w:highlight w:val="yellow"/>
              </w:rPr>
            </w:pPr>
          </w:p>
          <w:p w14:paraId="5D73D80A" w14:textId="2755B1C9" w:rsidR="001A3D49" w:rsidRPr="00067207" w:rsidRDefault="00F204EE" w:rsidP="00C42FD5">
            <w:pPr>
              <w:jc w:val="left"/>
              <w:rPr>
                <w:rFonts w:cs="Arial"/>
              </w:rPr>
            </w:pPr>
            <w:r w:rsidRPr="00067207">
              <w:rPr>
                <w:rFonts w:cs="Arial"/>
              </w:rPr>
              <w:t>Completed</w:t>
            </w:r>
          </w:p>
          <w:p w14:paraId="4A415C54" w14:textId="77777777" w:rsidR="00555ADD" w:rsidRPr="009E5880" w:rsidRDefault="00555ADD" w:rsidP="00C42FD5">
            <w:pPr>
              <w:jc w:val="left"/>
              <w:rPr>
                <w:rFonts w:cs="Arial"/>
                <w:highlight w:val="yellow"/>
              </w:rPr>
            </w:pPr>
          </w:p>
          <w:p w14:paraId="31DA4B83" w14:textId="6A8DF91E" w:rsidR="00555ADD" w:rsidRPr="009E5880" w:rsidRDefault="00555ADD" w:rsidP="00C42FD5">
            <w:pPr>
              <w:jc w:val="left"/>
              <w:rPr>
                <w:rFonts w:cs="Arial"/>
                <w:highlight w:val="yellow"/>
              </w:rPr>
            </w:pPr>
          </w:p>
        </w:tc>
      </w:tr>
      <w:bookmarkEnd w:id="19"/>
      <w:bookmarkEnd w:id="15"/>
    </w:tbl>
    <w:p w14:paraId="3B11D544" w14:textId="77777777" w:rsidR="00C42FD5" w:rsidRPr="00C42FD5" w:rsidRDefault="00C42FD5" w:rsidP="00C42FD5">
      <w:pPr>
        <w:sectPr w:rsidR="00C42FD5" w:rsidRPr="00C42FD5" w:rsidSect="00C42FD5">
          <w:pgSz w:w="16839" w:h="11907" w:orient="landscape" w:code="9"/>
          <w:pgMar w:top="1440" w:right="1440" w:bottom="1440" w:left="1440" w:header="708" w:footer="708" w:gutter="0"/>
          <w:cols w:space="708"/>
          <w:docGrid w:linePitch="360"/>
        </w:sectPr>
      </w:pPr>
    </w:p>
    <w:p w14:paraId="5FD465FF" w14:textId="7DBDB9D0" w:rsidR="00F02057" w:rsidRPr="00097140" w:rsidRDefault="009827D5" w:rsidP="00987BC4">
      <w:pPr>
        <w:pStyle w:val="Heading1"/>
        <w:rPr>
          <w:i/>
        </w:rPr>
      </w:pPr>
      <w:bookmarkStart w:id="20" w:name="_Toc70678998"/>
      <w:r w:rsidRPr="00987BC4">
        <w:lastRenderedPageBreak/>
        <w:t>A</w:t>
      </w:r>
      <w:r w:rsidR="00281203">
        <w:t>ppendix</w:t>
      </w:r>
      <w:r w:rsidRPr="00987BC4">
        <w:t xml:space="preserve"> B: Glossary</w:t>
      </w:r>
      <w:bookmarkEnd w:id="20"/>
    </w:p>
    <w:tbl>
      <w:tblPr>
        <w:tblStyle w:val="TableGrid"/>
        <w:tblW w:w="0" w:type="auto"/>
        <w:tblLook w:val="04A0" w:firstRow="1" w:lastRow="0" w:firstColumn="1" w:lastColumn="0" w:noHBand="0" w:noVBand="1"/>
      </w:tblPr>
      <w:tblGrid>
        <w:gridCol w:w="2263"/>
        <w:gridCol w:w="6753"/>
      </w:tblGrid>
      <w:tr w:rsidR="00097140" w14:paraId="5FD46605" w14:textId="77777777" w:rsidTr="001357E2">
        <w:tc>
          <w:tcPr>
            <w:tcW w:w="2263" w:type="dxa"/>
          </w:tcPr>
          <w:p w14:paraId="5FD46603" w14:textId="77777777" w:rsidR="00097140" w:rsidRPr="00B93AA7" w:rsidRDefault="00097140" w:rsidP="001357E2">
            <w:pPr>
              <w:spacing w:line="276" w:lineRule="auto"/>
              <w:rPr>
                <w:rFonts w:ascii="Arial" w:hAnsi="Arial" w:cs="Arial"/>
              </w:rPr>
            </w:pPr>
            <w:r w:rsidRPr="00093A3A">
              <w:rPr>
                <w:rFonts w:ascii="Arial" w:hAnsi="Arial" w:cs="Arial"/>
                <w:sz w:val="20"/>
              </w:rPr>
              <w:t>data</w:t>
            </w:r>
          </w:p>
        </w:tc>
        <w:tc>
          <w:tcPr>
            <w:tcW w:w="6753" w:type="dxa"/>
          </w:tcPr>
          <w:p w14:paraId="5FD46604" w14:textId="77777777" w:rsidR="00097140" w:rsidRPr="00E625D7" w:rsidRDefault="00097140" w:rsidP="001357E2">
            <w:pPr>
              <w:spacing w:line="276" w:lineRule="auto"/>
              <w:rPr>
                <w:rFonts w:ascii="Arial" w:hAnsi="Arial" w:cs="Arial"/>
                <w:sz w:val="20"/>
              </w:rPr>
            </w:pPr>
            <w:r w:rsidRPr="00E625D7">
              <w:rPr>
                <w:rFonts w:ascii="Arial" w:hAnsi="Arial" w:cs="Arial"/>
                <w:sz w:val="20"/>
              </w:rPr>
              <w:t>facts about an object</w:t>
            </w:r>
          </w:p>
        </w:tc>
      </w:tr>
      <w:tr w:rsidR="00097140" w14:paraId="5FD46608" w14:textId="77777777" w:rsidTr="001357E2">
        <w:tc>
          <w:tcPr>
            <w:tcW w:w="2263" w:type="dxa"/>
          </w:tcPr>
          <w:p w14:paraId="5FD46606" w14:textId="77777777" w:rsidR="00097140" w:rsidRPr="001F6A81" w:rsidRDefault="00097140" w:rsidP="001357E2">
            <w:pPr>
              <w:spacing w:line="276" w:lineRule="auto"/>
              <w:rPr>
                <w:rFonts w:ascii="Arial" w:hAnsi="Arial" w:cs="Arial"/>
                <w:sz w:val="20"/>
              </w:rPr>
            </w:pPr>
            <w:r w:rsidRPr="001F6A81">
              <w:rPr>
                <w:rFonts w:ascii="Arial" w:hAnsi="Arial" w:cs="Arial"/>
                <w:sz w:val="20"/>
              </w:rPr>
              <w:t>data quality</w:t>
            </w:r>
          </w:p>
        </w:tc>
        <w:tc>
          <w:tcPr>
            <w:tcW w:w="6753" w:type="dxa"/>
          </w:tcPr>
          <w:p w14:paraId="5FD46607" w14:textId="77777777" w:rsidR="00097140" w:rsidRPr="001F6A81" w:rsidRDefault="00097140" w:rsidP="001357E2">
            <w:pPr>
              <w:spacing w:line="276" w:lineRule="auto"/>
              <w:rPr>
                <w:rFonts w:ascii="Arial" w:hAnsi="Arial" w:cs="Arial"/>
                <w:sz w:val="20"/>
              </w:rPr>
            </w:pPr>
            <w:r w:rsidRPr="001F6A81">
              <w:rPr>
                <w:rFonts w:ascii="Arial" w:hAnsi="Arial" w:cs="Arial"/>
                <w:sz w:val="20"/>
              </w:rPr>
              <w:t>accuracy, completeness, validity and currency of the data</w:t>
            </w:r>
          </w:p>
        </w:tc>
      </w:tr>
      <w:tr w:rsidR="00097140" w14:paraId="5FD46611" w14:textId="77777777" w:rsidTr="001357E2">
        <w:tc>
          <w:tcPr>
            <w:tcW w:w="2263" w:type="dxa"/>
          </w:tcPr>
          <w:p w14:paraId="5FD4660F" w14:textId="77777777" w:rsidR="00097140" w:rsidRPr="00B93AA7" w:rsidRDefault="00097140" w:rsidP="001357E2">
            <w:pPr>
              <w:spacing w:line="276" w:lineRule="auto"/>
              <w:rPr>
                <w:rFonts w:ascii="Arial" w:hAnsi="Arial" w:cs="Arial"/>
                <w:sz w:val="20"/>
              </w:rPr>
            </w:pPr>
            <w:r w:rsidRPr="00B93AA7">
              <w:rPr>
                <w:rFonts w:ascii="Arial" w:hAnsi="Arial" w:cs="Arial"/>
                <w:sz w:val="20"/>
              </w:rPr>
              <w:t>information</w:t>
            </w:r>
          </w:p>
        </w:tc>
        <w:tc>
          <w:tcPr>
            <w:tcW w:w="6753" w:type="dxa"/>
          </w:tcPr>
          <w:p w14:paraId="5FD46610" w14:textId="77777777" w:rsidR="00097140" w:rsidRPr="00E625D7" w:rsidRDefault="00097140" w:rsidP="001357E2">
            <w:pPr>
              <w:spacing w:line="276" w:lineRule="auto"/>
              <w:rPr>
                <w:rFonts w:ascii="Arial" w:hAnsi="Arial" w:cs="Arial"/>
                <w:sz w:val="20"/>
              </w:rPr>
            </w:pPr>
            <w:r w:rsidRPr="00E625D7">
              <w:rPr>
                <w:rFonts w:ascii="Arial" w:hAnsi="Arial" w:cs="Arial"/>
                <w:sz w:val="20"/>
              </w:rPr>
              <w:t>meaningful data</w:t>
            </w:r>
          </w:p>
        </w:tc>
      </w:tr>
      <w:tr w:rsidR="00097140" w14:paraId="5FD46614" w14:textId="77777777" w:rsidTr="001357E2">
        <w:tc>
          <w:tcPr>
            <w:tcW w:w="2263" w:type="dxa"/>
          </w:tcPr>
          <w:p w14:paraId="5FD46612" w14:textId="77777777" w:rsidR="00097140" w:rsidRPr="00B93AA7" w:rsidRDefault="00097140" w:rsidP="001357E2">
            <w:pPr>
              <w:spacing w:line="276" w:lineRule="auto"/>
              <w:rPr>
                <w:rFonts w:ascii="Arial" w:hAnsi="Arial" w:cs="Arial"/>
                <w:sz w:val="20"/>
              </w:rPr>
            </w:pPr>
            <w:r>
              <w:rPr>
                <w:rFonts w:ascii="Arial" w:hAnsi="Arial" w:cs="Arial"/>
                <w:sz w:val="20"/>
              </w:rPr>
              <w:t>i</w:t>
            </w:r>
            <w:r w:rsidRPr="00B93AA7">
              <w:rPr>
                <w:rFonts w:ascii="Arial" w:hAnsi="Arial" w:cs="Arial"/>
                <w:sz w:val="20"/>
              </w:rPr>
              <w:t>nformation system</w:t>
            </w:r>
          </w:p>
        </w:tc>
        <w:tc>
          <w:tcPr>
            <w:tcW w:w="6753" w:type="dxa"/>
          </w:tcPr>
          <w:p w14:paraId="5FD46613" w14:textId="77777777" w:rsidR="00097140" w:rsidRPr="00CF2DC8" w:rsidRDefault="00097140" w:rsidP="001357E2">
            <w:pPr>
              <w:spacing w:line="276" w:lineRule="auto"/>
              <w:rPr>
                <w:rFonts w:ascii="Arial" w:hAnsi="Arial" w:cs="Arial"/>
                <w:sz w:val="20"/>
              </w:rPr>
            </w:pPr>
            <w:r w:rsidRPr="00B93AA7">
              <w:rPr>
                <w:rFonts w:ascii="Arial" w:hAnsi="Arial" w:cs="Arial"/>
                <w:sz w:val="20"/>
              </w:rPr>
              <w:t>applications, services, information technology assets, or other information handling components</w:t>
            </w:r>
            <w:r>
              <w:rPr>
                <w:rFonts w:ascii="Arial" w:hAnsi="Arial" w:cs="Arial"/>
                <w:sz w:val="20"/>
              </w:rPr>
              <w:t>; includes software, hardware, data, people and procedures</w:t>
            </w:r>
          </w:p>
        </w:tc>
      </w:tr>
      <w:tr w:rsidR="00097140" w14:paraId="5FD4661A" w14:textId="77777777" w:rsidTr="001357E2">
        <w:tc>
          <w:tcPr>
            <w:tcW w:w="2263" w:type="dxa"/>
          </w:tcPr>
          <w:p w14:paraId="5FD46618" w14:textId="77777777" w:rsidR="00097140" w:rsidRPr="00B93AA7" w:rsidRDefault="00097140" w:rsidP="001357E2">
            <w:pPr>
              <w:spacing w:line="276" w:lineRule="auto"/>
              <w:rPr>
                <w:rFonts w:ascii="Arial" w:hAnsi="Arial" w:cs="Arial"/>
                <w:sz w:val="20"/>
              </w:rPr>
            </w:pPr>
            <w:r w:rsidRPr="00B93AA7">
              <w:rPr>
                <w:rFonts w:ascii="Arial" w:hAnsi="Arial" w:cs="Arial"/>
                <w:sz w:val="20"/>
              </w:rPr>
              <w:t>objective</w:t>
            </w:r>
          </w:p>
        </w:tc>
        <w:tc>
          <w:tcPr>
            <w:tcW w:w="6753" w:type="dxa"/>
          </w:tcPr>
          <w:p w14:paraId="5FD46619" w14:textId="77777777" w:rsidR="00097140" w:rsidRPr="00B93AA7" w:rsidRDefault="00097140" w:rsidP="001357E2">
            <w:pPr>
              <w:spacing w:line="276" w:lineRule="auto"/>
              <w:rPr>
                <w:rFonts w:ascii="Arial" w:hAnsi="Arial" w:cs="Arial"/>
                <w:sz w:val="20"/>
              </w:rPr>
            </w:pPr>
            <w:r w:rsidRPr="00B93AA7">
              <w:rPr>
                <w:rFonts w:ascii="Arial" w:hAnsi="Arial" w:cs="Arial"/>
                <w:sz w:val="20"/>
              </w:rPr>
              <w:t>result to be achieved</w:t>
            </w:r>
          </w:p>
        </w:tc>
      </w:tr>
      <w:tr w:rsidR="00F55C6D" w14:paraId="7798ECBD" w14:textId="77777777" w:rsidTr="001357E2">
        <w:tc>
          <w:tcPr>
            <w:tcW w:w="2263" w:type="dxa"/>
          </w:tcPr>
          <w:p w14:paraId="14E9001F" w14:textId="613F43A8" w:rsidR="00F55C6D" w:rsidRPr="00F55C6D" w:rsidRDefault="00F55C6D" w:rsidP="00F55C6D">
            <w:pPr>
              <w:spacing w:line="276" w:lineRule="auto"/>
              <w:rPr>
                <w:rFonts w:ascii="Arial" w:hAnsi="Arial" w:cs="Arial"/>
                <w:sz w:val="20"/>
              </w:rPr>
            </w:pPr>
            <w:r w:rsidRPr="00F55C6D">
              <w:rPr>
                <w:rFonts w:ascii="Arial" w:hAnsi="Arial" w:cs="Arial"/>
                <w:sz w:val="20"/>
              </w:rPr>
              <w:t>Oracle Financials</w:t>
            </w:r>
          </w:p>
        </w:tc>
        <w:tc>
          <w:tcPr>
            <w:tcW w:w="6753" w:type="dxa"/>
          </w:tcPr>
          <w:p w14:paraId="49B67450" w14:textId="15CA678D" w:rsidR="00F55C6D" w:rsidRPr="00B93AA7" w:rsidRDefault="00F55C6D" w:rsidP="00F55C6D">
            <w:pPr>
              <w:spacing w:line="276" w:lineRule="auto"/>
              <w:rPr>
                <w:rFonts w:ascii="Arial" w:hAnsi="Arial" w:cs="Arial"/>
              </w:rPr>
            </w:pPr>
            <w:r>
              <w:rPr>
                <w:rFonts w:ascii="Arial" w:hAnsi="Arial" w:cs="Arial"/>
                <w:sz w:val="20"/>
              </w:rPr>
              <w:t>a</w:t>
            </w:r>
            <w:r w:rsidRPr="00F55C6D">
              <w:rPr>
                <w:rFonts w:ascii="Arial" w:hAnsi="Arial" w:cs="Arial"/>
                <w:sz w:val="20"/>
              </w:rPr>
              <w:t>ccounting software used by the University of Oxford</w:t>
            </w:r>
          </w:p>
        </w:tc>
      </w:tr>
      <w:tr w:rsidR="00097140" w14:paraId="5FD4661D" w14:textId="77777777" w:rsidTr="001357E2">
        <w:tc>
          <w:tcPr>
            <w:tcW w:w="2263" w:type="dxa"/>
          </w:tcPr>
          <w:p w14:paraId="5FD4661B" w14:textId="77777777" w:rsidR="00097140" w:rsidRPr="00B93AA7" w:rsidRDefault="00097140" w:rsidP="001357E2">
            <w:pPr>
              <w:spacing w:line="276" w:lineRule="auto"/>
              <w:rPr>
                <w:rFonts w:ascii="Arial" w:hAnsi="Arial" w:cs="Arial"/>
                <w:sz w:val="20"/>
              </w:rPr>
            </w:pPr>
            <w:r w:rsidRPr="00B93AA7">
              <w:rPr>
                <w:rFonts w:ascii="Arial" w:hAnsi="Arial" w:cs="Arial"/>
                <w:sz w:val="20"/>
              </w:rPr>
              <w:t>policy</w:t>
            </w:r>
          </w:p>
        </w:tc>
        <w:tc>
          <w:tcPr>
            <w:tcW w:w="6753" w:type="dxa"/>
          </w:tcPr>
          <w:p w14:paraId="5FD4661C" w14:textId="77777777" w:rsidR="00097140" w:rsidRPr="002766AE" w:rsidRDefault="00097140" w:rsidP="001357E2">
            <w:pPr>
              <w:spacing w:line="276" w:lineRule="auto"/>
              <w:rPr>
                <w:rFonts w:ascii="Arial" w:hAnsi="Arial" w:cs="Arial"/>
                <w:sz w:val="20"/>
              </w:rPr>
            </w:pPr>
            <w:r w:rsidRPr="00B93AA7">
              <w:rPr>
                <w:rFonts w:ascii="Arial" w:hAnsi="Arial" w:cs="Arial"/>
                <w:sz w:val="20"/>
              </w:rPr>
              <w:t xml:space="preserve">intentions and direction of an </w:t>
            </w:r>
            <w:r>
              <w:rPr>
                <w:rFonts w:ascii="Arial" w:hAnsi="Arial" w:cs="Arial"/>
                <w:sz w:val="20"/>
              </w:rPr>
              <w:t>organisation</w:t>
            </w:r>
            <w:r w:rsidRPr="00B93AA7">
              <w:rPr>
                <w:rFonts w:ascii="Arial" w:hAnsi="Arial" w:cs="Arial"/>
                <w:sz w:val="20"/>
              </w:rPr>
              <w:t xml:space="preserve"> as formally expressed by its top management</w:t>
            </w:r>
          </w:p>
        </w:tc>
      </w:tr>
      <w:tr w:rsidR="00097140" w14:paraId="5FD46620" w14:textId="77777777" w:rsidTr="001357E2">
        <w:tc>
          <w:tcPr>
            <w:tcW w:w="2263" w:type="dxa"/>
          </w:tcPr>
          <w:p w14:paraId="5FD4661E" w14:textId="77777777" w:rsidR="00097140" w:rsidRPr="002766AE" w:rsidRDefault="00097140" w:rsidP="001357E2">
            <w:pPr>
              <w:spacing w:line="276" w:lineRule="auto"/>
              <w:rPr>
                <w:rFonts w:ascii="Arial" w:hAnsi="Arial" w:cs="Arial"/>
                <w:sz w:val="20"/>
              </w:rPr>
            </w:pPr>
            <w:r w:rsidRPr="002766AE">
              <w:rPr>
                <w:rFonts w:ascii="Arial" w:hAnsi="Arial" w:cs="Arial"/>
                <w:sz w:val="20"/>
              </w:rPr>
              <w:t>procedure</w:t>
            </w:r>
          </w:p>
        </w:tc>
        <w:tc>
          <w:tcPr>
            <w:tcW w:w="6753" w:type="dxa"/>
          </w:tcPr>
          <w:p w14:paraId="5FD4661F" w14:textId="77777777" w:rsidR="00097140" w:rsidRPr="002766AE" w:rsidRDefault="00097140" w:rsidP="001357E2">
            <w:pPr>
              <w:spacing w:line="276" w:lineRule="auto"/>
              <w:rPr>
                <w:rFonts w:ascii="Arial" w:hAnsi="Arial" w:cs="Arial"/>
                <w:sz w:val="20"/>
              </w:rPr>
            </w:pPr>
            <w:r w:rsidRPr="002766AE">
              <w:rPr>
                <w:rFonts w:ascii="Arial" w:hAnsi="Arial" w:cs="Arial"/>
                <w:sz w:val="20"/>
              </w:rPr>
              <w:t>specified way to carry out an activity or a process</w:t>
            </w:r>
          </w:p>
        </w:tc>
      </w:tr>
      <w:tr w:rsidR="00097140" w14:paraId="5FD46623" w14:textId="77777777" w:rsidTr="001357E2">
        <w:tc>
          <w:tcPr>
            <w:tcW w:w="2263" w:type="dxa"/>
          </w:tcPr>
          <w:p w14:paraId="5FD46621" w14:textId="77777777" w:rsidR="00097140" w:rsidRPr="00B93AA7" w:rsidRDefault="00097140" w:rsidP="001357E2">
            <w:pPr>
              <w:spacing w:line="276" w:lineRule="auto"/>
              <w:rPr>
                <w:rFonts w:ascii="Arial" w:hAnsi="Arial" w:cs="Arial"/>
                <w:sz w:val="20"/>
              </w:rPr>
            </w:pPr>
            <w:r w:rsidRPr="00B93AA7">
              <w:rPr>
                <w:rFonts w:ascii="Arial" w:hAnsi="Arial" w:cs="Arial"/>
                <w:sz w:val="20"/>
              </w:rPr>
              <w:t>process</w:t>
            </w:r>
          </w:p>
        </w:tc>
        <w:tc>
          <w:tcPr>
            <w:tcW w:w="6753" w:type="dxa"/>
          </w:tcPr>
          <w:p w14:paraId="5FD46622" w14:textId="77777777" w:rsidR="00097140" w:rsidRPr="002766AE" w:rsidRDefault="00097140" w:rsidP="001357E2">
            <w:pPr>
              <w:spacing w:line="276" w:lineRule="auto"/>
              <w:rPr>
                <w:rFonts w:ascii="Arial" w:hAnsi="Arial" w:cs="Arial"/>
                <w:sz w:val="20"/>
              </w:rPr>
            </w:pPr>
            <w:r w:rsidRPr="00B93AA7">
              <w:rPr>
                <w:rFonts w:ascii="Arial" w:hAnsi="Arial" w:cs="Arial"/>
                <w:sz w:val="20"/>
              </w:rPr>
              <w:t>set of interrelated or interacting activities which transforms inputs into outputs</w:t>
            </w:r>
          </w:p>
        </w:tc>
      </w:tr>
      <w:tr w:rsidR="00097140" w14:paraId="5FD46626" w14:textId="77777777" w:rsidTr="001357E2">
        <w:tc>
          <w:tcPr>
            <w:tcW w:w="2263" w:type="dxa"/>
          </w:tcPr>
          <w:p w14:paraId="5FD46624" w14:textId="77777777" w:rsidR="00097140" w:rsidRPr="00CF2DC8" w:rsidRDefault="00097140" w:rsidP="001357E2">
            <w:pPr>
              <w:spacing w:line="276" w:lineRule="auto"/>
              <w:rPr>
                <w:rFonts w:ascii="Arial" w:hAnsi="Arial" w:cs="Arial"/>
                <w:sz w:val="20"/>
              </w:rPr>
            </w:pPr>
            <w:r w:rsidRPr="00CF2DC8">
              <w:rPr>
                <w:rFonts w:ascii="Arial" w:hAnsi="Arial" w:cs="Arial"/>
                <w:sz w:val="20"/>
              </w:rPr>
              <w:t>quality</w:t>
            </w:r>
          </w:p>
        </w:tc>
        <w:tc>
          <w:tcPr>
            <w:tcW w:w="6753" w:type="dxa"/>
          </w:tcPr>
          <w:p w14:paraId="5FD46625" w14:textId="77777777" w:rsidR="00097140" w:rsidRPr="00CF2DC8" w:rsidRDefault="00097140" w:rsidP="001357E2">
            <w:pPr>
              <w:spacing w:line="276" w:lineRule="auto"/>
              <w:rPr>
                <w:rFonts w:ascii="Arial" w:hAnsi="Arial" w:cs="Arial"/>
                <w:sz w:val="20"/>
              </w:rPr>
            </w:pPr>
            <w:r w:rsidRPr="00CF2DC8">
              <w:rPr>
                <w:rFonts w:ascii="Arial" w:hAnsi="Arial" w:cs="Arial"/>
                <w:sz w:val="20"/>
              </w:rPr>
              <w:t>degree to which a set of inherent characteristics of an object fulfils requirements</w:t>
            </w:r>
          </w:p>
        </w:tc>
      </w:tr>
      <w:tr w:rsidR="00097140" w14:paraId="5FD46629" w14:textId="77777777" w:rsidTr="001357E2">
        <w:tc>
          <w:tcPr>
            <w:tcW w:w="2263" w:type="dxa"/>
          </w:tcPr>
          <w:p w14:paraId="5FD46627" w14:textId="77777777" w:rsidR="00097140" w:rsidRPr="001337F5" w:rsidRDefault="00097140" w:rsidP="001357E2">
            <w:pPr>
              <w:spacing w:line="276" w:lineRule="auto"/>
              <w:rPr>
                <w:rFonts w:ascii="Arial" w:hAnsi="Arial" w:cs="Arial"/>
              </w:rPr>
            </w:pPr>
            <w:r w:rsidRPr="001337F5">
              <w:rPr>
                <w:rFonts w:ascii="Arial" w:hAnsi="Arial" w:cs="Arial"/>
                <w:sz w:val="20"/>
              </w:rPr>
              <w:t>return</w:t>
            </w:r>
          </w:p>
        </w:tc>
        <w:tc>
          <w:tcPr>
            <w:tcW w:w="6753" w:type="dxa"/>
          </w:tcPr>
          <w:p w14:paraId="5FD46628" w14:textId="77777777" w:rsidR="00097140" w:rsidRPr="00CF2DC8" w:rsidRDefault="00097140" w:rsidP="001357E2">
            <w:pPr>
              <w:spacing w:line="276" w:lineRule="auto"/>
              <w:rPr>
                <w:rFonts w:ascii="Arial" w:hAnsi="Arial" w:cs="Arial"/>
              </w:rPr>
            </w:pPr>
            <w:r>
              <w:rPr>
                <w:rFonts w:ascii="Arial" w:hAnsi="Arial" w:cs="Arial"/>
                <w:sz w:val="20"/>
              </w:rPr>
              <w:t>r</w:t>
            </w:r>
            <w:r w:rsidRPr="001337F5">
              <w:rPr>
                <w:rFonts w:ascii="Arial" w:hAnsi="Arial" w:cs="Arial"/>
                <w:sz w:val="20"/>
              </w:rPr>
              <w:t>eport formally or officially on a specific matter</w:t>
            </w:r>
          </w:p>
        </w:tc>
      </w:tr>
      <w:tr w:rsidR="00097140" w14:paraId="5FD4662C" w14:textId="77777777" w:rsidTr="001357E2">
        <w:tc>
          <w:tcPr>
            <w:tcW w:w="2263" w:type="dxa"/>
          </w:tcPr>
          <w:p w14:paraId="5FD4662A" w14:textId="77777777" w:rsidR="00097140" w:rsidRPr="00B93AA7" w:rsidRDefault="00097140" w:rsidP="001357E2">
            <w:pPr>
              <w:spacing w:line="276" w:lineRule="auto"/>
              <w:rPr>
                <w:rFonts w:ascii="Arial" w:hAnsi="Arial" w:cs="Arial"/>
                <w:sz w:val="20"/>
              </w:rPr>
            </w:pPr>
            <w:r w:rsidRPr="00B93AA7">
              <w:rPr>
                <w:rFonts w:ascii="Arial" w:hAnsi="Arial" w:cs="Arial"/>
                <w:sz w:val="20"/>
              </w:rPr>
              <w:t>risk</w:t>
            </w:r>
          </w:p>
        </w:tc>
        <w:tc>
          <w:tcPr>
            <w:tcW w:w="6753" w:type="dxa"/>
          </w:tcPr>
          <w:p w14:paraId="5FD4662B" w14:textId="77777777" w:rsidR="00097140" w:rsidRPr="00B93AA7" w:rsidRDefault="00097140" w:rsidP="001357E2">
            <w:pPr>
              <w:spacing w:line="276" w:lineRule="auto"/>
              <w:rPr>
                <w:rFonts w:ascii="Arial" w:hAnsi="Arial" w:cs="Arial"/>
                <w:sz w:val="20"/>
              </w:rPr>
            </w:pPr>
            <w:r w:rsidRPr="00B93AA7">
              <w:rPr>
                <w:rFonts w:ascii="Arial" w:hAnsi="Arial" w:cs="Arial"/>
                <w:sz w:val="20"/>
              </w:rPr>
              <w:t>effect of uncertainty on objectives</w:t>
            </w:r>
          </w:p>
        </w:tc>
      </w:tr>
      <w:tr w:rsidR="00097140" w14:paraId="5FD4662F" w14:textId="77777777" w:rsidTr="001357E2">
        <w:trPr>
          <w:trHeight w:val="56"/>
        </w:trPr>
        <w:tc>
          <w:tcPr>
            <w:tcW w:w="2263" w:type="dxa"/>
          </w:tcPr>
          <w:p w14:paraId="5FD4662D" w14:textId="77777777" w:rsidR="00097140" w:rsidRPr="00B93AA7" w:rsidRDefault="00097140" w:rsidP="001357E2">
            <w:pPr>
              <w:spacing w:line="276" w:lineRule="auto"/>
              <w:rPr>
                <w:rFonts w:ascii="Arial" w:hAnsi="Arial" w:cs="Arial"/>
                <w:sz w:val="20"/>
              </w:rPr>
            </w:pPr>
            <w:r w:rsidRPr="00B93AA7">
              <w:rPr>
                <w:rFonts w:ascii="Arial" w:hAnsi="Arial" w:cs="Arial"/>
                <w:sz w:val="20"/>
              </w:rPr>
              <w:t>risk assessment</w:t>
            </w:r>
          </w:p>
        </w:tc>
        <w:tc>
          <w:tcPr>
            <w:tcW w:w="6753" w:type="dxa"/>
          </w:tcPr>
          <w:p w14:paraId="5FD4662E" w14:textId="77777777" w:rsidR="00097140" w:rsidRPr="00B93AA7" w:rsidRDefault="00097140" w:rsidP="001357E2">
            <w:pPr>
              <w:spacing w:line="276" w:lineRule="auto"/>
              <w:rPr>
                <w:rFonts w:ascii="Arial" w:hAnsi="Arial" w:cs="Arial"/>
                <w:sz w:val="20"/>
              </w:rPr>
            </w:pPr>
            <w:r w:rsidRPr="00B93AA7">
              <w:rPr>
                <w:rFonts w:ascii="Arial" w:hAnsi="Arial" w:cs="Arial"/>
                <w:sz w:val="20"/>
              </w:rPr>
              <w:t>overall process of risk identification, risk analysis and risk evaluation</w:t>
            </w:r>
          </w:p>
        </w:tc>
      </w:tr>
      <w:tr w:rsidR="00097140" w14:paraId="5FD46632" w14:textId="77777777" w:rsidTr="001357E2">
        <w:tc>
          <w:tcPr>
            <w:tcW w:w="2263" w:type="dxa"/>
          </w:tcPr>
          <w:p w14:paraId="5FD46630" w14:textId="77777777" w:rsidR="00097140" w:rsidRPr="00B93AA7" w:rsidRDefault="00097140" w:rsidP="001357E2">
            <w:pPr>
              <w:spacing w:line="276" w:lineRule="auto"/>
              <w:rPr>
                <w:rFonts w:ascii="Arial" w:hAnsi="Arial" w:cs="Arial"/>
                <w:sz w:val="20"/>
              </w:rPr>
            </w:pPr>
            <w:r w:rsidRPr="00B93AA7">
              <w:rPr>
                <w:rFonts w:ascii="Arial" w:hAnsi="Arial" w:cs="Arial"/>
                <w:sz w:val="20"/>
              </w:rPr>
              <w:t>stakeholder</w:t>
            </w:r>
          </w:p>
        </w:tc>
        <w:tc>
          <w:tcPr>
            <w:tcW w:w="6753" w:type="dxa"/>
          </w:tcPr>
          <w:p w14:paraId="5FD46631" w14:textId="77777777" w:rsidR="00097140" w:rsidRPr="00B93AA7" w:rsidRDefault="00097140" w:rsidP="001357E2">
            <w:pPr>
              <w:spacing w:line="276" w:lineRule="auto"/>
              <w:rPr>
                <w:rFonts w:ascii="Arial" w:hAnsi="Arial" w:cs="Arial"/>
                <w:sz w:val="20"/>
              </w:rPr>
            </w:pPr>
            <w:r w:rsidRPr="00B93AA7">
              <w:rPr>
                <w:rFonts w:ascii="Arial" w:hAnsi="Arial" w:cs="Arial"/>
                <w:sz w:val="20"/>
              </w:rPr>
              <w:t xml:space="preserve">person or </w:t>
            </w:r>
            <w:r>
              <w:rPr>
                <w:rFonts w:ascii="Arial" w:hAnsi="Arial" w:cs="Arial"/>
                <w:sz w:val="20"/>
              </w:rPr>
              <w:t>organisation</w:t>
            </w:r>
            <w:r w:rsidRPr="00B93AA7">
              <w:rPr>
                <w:rFonts w:ascii="Arial" w:hAnsi="Arial" w:cs="Arial"/>
                <w:sz w:val="20"/>
              </w:rPr>
              <w:t xml:space="preserve"> that can affect, be affected by, or perceive themselves to be affected by a decision or activity</w:t>
            </w:r>
          </w:p>
        </w:tc>
      </w:tr>
      <w:tr w:rsidR="00097140" w14:paraId="5FD46635" w14:textId="77777777" w:rsidTr="001357E2">
        <w:tc>
          <w:tcPr>
            <w:tcW w:w="2263" w:type="dxa"/>
          </w:tcPr>
          <w:p w14:paraId="5FD46633" w14:textId="77777777" w:rsidR="00097140" w:rsidRPr="00C15B76" w:rsidRDefault="00097140" w:rsidP="001357E2">
            <w:pPr>
              <w:spacing w:line="276" w:lineRule="auto"/>
              <w:rPr>
                <w:rFonts w:ascii="Arial" w:hAnsi="Arial" w:cs="Arial"/>
                <w:sz w:val="20"/>
              </w:rPr>
            </w:pPr>
            <w:r>
              <w:rPr>
                <w:rFonts w:ascii="Arial" w:hAnsi="Arial" w:cs="Arial"/>
                <w:sz w:val="20"/>
              </w:rPr>
              <w:t>s</w:t>
            </w:r>
            <w:r w:rsidRPr="00C15B76">
              <w:rPr>
                <w:rFonts w:ascii="Arial" w:hAnsi="Arial" w:cs="Arial"/>
                <w:sz w:val="20"/>
              </w:rPr>
              <w:t>tatutory requirement</w:t>
            </w:r>
          </w:p>
        </w:tc>
        <w:tc>
          <w:tcPr>
            <w:tcW w:w="6753" w:type="dxa"/>
          </w:tcPr>
          <w:p w14:paraId="5FD46634" w14:textId="77777777" w:rsidR="00097140" w:rsidRPr="00C15B76" w:rsidRDefault="00097140" w:rsidP="001357E2">
            <w:pPr>
              <w:spacing w:line="276" w:lineRule="auto"/>
              <w:rPr>
                <w:rFonts w:ascii="Arial" w:hAnsi="Arial" w:cs="Arial"/>
                <w:sz w:val="20"/>
              </w:rPr>
            </w:pPr>
            <w:r w:rsidRPr="00C15B76">
              <w:rPr>
                <w:rFonts w:ascii="Arial" w:hAnsi="Arial" w:cs="Arial"/>
                <w:sz w:val="20"/>
              </w:rPr>
              <w:t>obligatory requirement specified by a legislative body</w:t>
            </w:r>
          </w:p>
        </w:tc>
      </w:tr>
    </w:tbl>
    <w:p w14:paraId="5FD46636" w14:textId="77777777" w:rsidR="009827D5" w:rsidRPr="00097140" w:rsidRDefault="009827D5" w:rsidP="00097140">
      <w:pPr>
        <w:tabs>
          <w:tab w:val="left" w:pos="426"/>
        </w:tabs>
        <w:spacing w:after="160"/>
        <w:rPr>
          <w:rFonts w:ascii="Arial" w:hAnsi="Arial" w:cs="Arial"/>
          <w:szCs w:val="22"/>
        </w:rPr>
      </w:pPr>
    </w:p>
    <w:sectPr w:rsidR="009827D5" w:rsidRPr="00097140" w:rsidSect="00987BC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4663B" w14:textId="77777777" w:rsidR="00CB6B33" w:rsidRDefault="00CB6B33" w:rsidP="004D791F">
      <w:pPr>
        <w:spacing w:after="0" w:line="240" w:lineRule="auto"/>
      </w:pPr>
      <w:r>
        <w:separator/>
      </w:r>
    </w:p>
  </w:endnote>
  <w:endnote w:type="continuationSeparator" w:id="0">
    <w:p w14:paraId="5FD4663C" w14:textId="77777777" w:rsidR="00CB6B33" w:rsidRDefault="00CB6B33" w:rsidP="004D7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QMZLI+Cambria">
    <w:altName w:val="NQMZLI+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060400"/>
      <w:docPartObj>
        <w:docPartGallery w:val="Page Numbers (Bottom of Page)"/>
        <w:docPartUnique/>
      </w:docPartObj>
    </w:sdtPr>
    <w:sdtEndPr>
      <w:rPr>
        <w:noProof/>
      </w:rPr>
    </w:sdtEndPr>
    <w:sdtContent>
      <w:p w14:paraId="5FD4663F" w14:textId="7362A437" w:rsidR="001C6FE5" w:rsidRDefault="001C6FE5">
        <w:pPr>
          <w:pStyle w:val="Footer"/>
          <w:jc w:val="center"/>
        </w:pPr>
        <w:r>
          <w:fldChar w:fldCharType="begin"/>
        </w:r>
        <w:r>
          <w:instrText xml:space="preserve"> PAGE   \* MERGEFORMAT </w:instrText>
        </w:r>
        <w:r>
          <w:fldChar w:fldCharType="separate"/>
        </w:r>
        <w:r w:rsidR="00C44138">
          <w:rPr>
            <w:noProof/>
          </w:rPr>
          <w:t>6</w:t>
        </w:r>
        <w:r>
          <w:rPr>
            <w:noProof/>
          </w:rPr>
          <w:fldChar w:fldCharType="end"/>
        </w:r>
      </w:p>
    </w:sdtContent>
  </w:sdt>
  <w:p w14:paraId="5FD46640" w14:textId="77777777" w:rsidR="001C6FE5" w:rsidRDefault="001C6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46639" w14:textId="77777777" w:rsidR="00CB6B33" w:rsidRDefault="00CB6B33" w:rsidP="004D791F">
      <w:pPr>
        <w:spacing w:after="0" w:line="240" w:lineRule="auto"/>
      </w:pPr>
      <w:r>
        <w:separator/>
      </w:r>
    </w:p>
  </w:footnote>
  <w:footnote w:type="continuationSeparator" w:id="0">
    <w:p w14:paraId="5FD4663A" w14:textId="77777777" w:rsidR="00CB6B33" w:rsidRDefault="00CB6B33" w:rsidP="004D7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4663D" w14:textId="3D8C17D8" w:rsidR="00CB6B33" w:rsidRDefault="0055672E" w:rsidP="001C6FE5">
    <w:pPr>
      <w:pStyle w:val="Header"/>
      <w:rPr>
        <w:rFonts w:ascii="Arial" w:hAnsi="Arial" w:cs="Arial"/>
      </w:rPr>
    </w:pPr>
    <w:r>
      <w:rPr>
        <w:rFonts w:ascii="Arial" w:hAnsi="Arial" w:cs="Arial"/>
      </w:rPr>
      <w:t>Data Quality Policy: Finance</w:t>
    </w:r>
    <w:r w:rsidR="001C6FE5">
      <w:rPr>
        <w:rFonts w:ascii="Arial" w:hAnsi="Arial" w:cs="Arial"/>
      </w:rPr>
      <w:tab/>
    </w:r>
    <w:r w:rsidR="001C6FE5">
      <w:rPr>
        <w:rFonts w:ascii="Arial" w:hAnsi="Arial" w:cs="Arial"/>
      </w:rPr>
      <w:tab/>
    </w:r>
  </w:p>
  <w:p w14:paraId="5FD4663E" w14:textId="00AC5730" w:rsidR="001C6FE5" w:rsidRPr="001C6FE5" w:rsidRDefault="001C6FE5" w:rsidP="001C6FE5">
    <w:pPr>
      <w:pStyle w:val="Header"/>
      <w:rPr>
        <w:rFonts w:ascii="Arial" w:hAnsi="Arial" w:cs="Arial"/>
      </w:rPr>
    </w:pPr>
    <w:r>
      <w:rPr>
        <w:rFonts w:ascii="Arial" w:hAnsi="Arial" w:cs="Arial"/>
      </w:rPr>
      <w:t xml:space="preserve">Form revised </w:t>
    </w:r>
    <w:r w:rsidR="009E5880">
      <w:rPr>
        <w:rFonts w:ascii="Arial" w:hAnsi="Arial" w:cs="Arial"/>
      </w:rPr>
      <w:t>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3F4"/>
    <w:multiLevelType w:val="multilevel"/>
    <w:tmpl w:val="F90AAE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A5851"/>
    <w:multiLevelType w:val="hybridMultilevel"/>
    <w:tmpl w:val="C4964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304425"/>
    <w:multiLevelType w:val="hybridMultilevel"/>
    <w:tmpl w:val="C50C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056D0"/>
    <w:multiLevelType w:val="hybridMultilevel"/>
    <w:tmpl w:val="5DC6F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8F1410"/>
    <w:multiLevelType w:val="hybridMultilevel"/>
    <w:tmpl w:val="A8648158"/>
    <w:lvl w:ilvl="0" w:tplc="1C7AD06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66D41"/>
    <w:multiLevelType w:val="hybridMultilevel"/>
    <w:tmpl w:val="5DFE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44043"/>
    <w:multiLevelType w:val="multilevel"/>
    <w:tmpl w:val="04F20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B4205"/>
    <w:multiLevelType w:val="hybridMultilevel"/>
    <w:tmpl w:val="8160D1B2"/>
    <w:lvl w:ilvl="0" w:tplc="451A68CA">
      <w:start w:val="1"/>
      <w:numFmt w:val="bullet"/>
      <w:lvlText w:val="-"/>
      <w:lvlJc w:val="left"/>
      <w:pPr>
        <w:ind w:left="786" w:hanging="360"/>
      </w:pPr>
      <w:rPr>
        <w:rFonts w:ascii="Arial" w:eastAsiaTheme="minorEastAsia"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6D660F"/>
    <w:multiLevelType w:val="hybridMultilevel"/>
    <w:tmpl w:val="1DEA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037DD"/>
    <w:multiLevelType w:val="multilevel"/>
    <w:tmpl w:val="B99A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255C54"/>
    <w:multiLevelType w:val="hybridMultilevel"/>
    <w:tmpl w:val="BA20F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D4CB4"/>
    <w:multiLevelType w:val="hybridMultilevel"/>
    <w:tmpl w:val="9636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85579B"/>
    <w:multiLevelType w:val="multilevel"/>
    <w:tmpl w:val="3684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B4033D"/>
    <w:multiLevelType w:val="hybridMultilevel"/>
    <w:tmpl w:val="F4A40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1E58DD"/>
    <w:multiLevelType w:val="hybridMultilevel"/>
    <w:tmpl w:val="C6CA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9066B1"/>
    <w:multiLevelType w:val="hybridMultilevel"/>
    <w:tmpl w:val="09CC3968"/>
    <w:lvl w:ilvl="0" w:tplc="AFB06A96">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495CF9"/>
    <w:multiLevelType w:val="hybridMultilevel"/>
    <w:tmpl w:val="C74C3E78"/>
    <w:lvl w:ilvl="0" w:tplc="A8229F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884DAE"/>
    <w:multiLevelType w:val="hybridMultilevel"/>
    <w:tmpl w:val="98325B80"/>
    <w:lvl w:ilvl="0" w:tplc="1C7AD06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F84932"/>
    <w:multiLevelType w:val="hybridMultilevel"/>
    <w:tmpl w:val="345ADA24"/>
    <w:lvl w:ilvl="0" w:tplc="35B24F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DE1083"/>
    <w:multiLevelType w:val="hybridMultilevel"/>
    <w:tmpl w:val="37BA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714FA"/>
    <w:multiLevelType w:val="hybridMultilevel"/>
    <w:tmpl w:val="C6C4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7D0BD0"/>
    <w:multiLevelType w:val="hybridMultilevel"/>
    <w:tmpl w:val="85465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87B61C1"/>
    <w:multiLevelType w:val="hybridMultilevel"/>
    <w:tmpl w:val="E4D4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BD67DE"/>
    <w:multiLevelType w:val="hybridMultilevel"/>
    <w:tmpl w:val="84B0F24C"/>
    <w:lvl w:ilvl="0" w:tplc="F8BE5C88">
      <w:start w:val="1"/>
      <w:numFmt w:val="decimal"/>
      <w:lvlText w:val="%1."/>
      <w:lvlJc w:val="left"/>
      <w:pPr>
        <w:ind w:left="360" w:hanging="360"/>
      </w:pPr>
      <w:rPr>
        <w:rFonts w:ascii="Arial" w:hAnsi="Arial" w:cs="Arial"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E6E2250"/>
    <w:multiLevelType w:val="hybridMultilevel"/>
    <w:tmpl w:val="FE6C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0358CA"/>
    <w:multiLevelType w:val="multilevel"/>
    <w:tmpl w:val="098CB0B4"/>
    <w:lvl w:ilvl="0">
      <w:start w:val="6"/>
      <w:numFmt w:val="decimal"/>
      <w:lvlText w:val="%1"/>
      <w:lvlJc w:val="left"/>
      <w:pPr>
        <w:ind w:left="375" w:hanging="375"/>
      </w:pPr>
      <w:rPr>
        <w:rFonts w:ascii="Arial" w:hAnsi="Arial" w:cs="Arial" w:hint="default"/>
        <w:sz w:val="20"/>
      </w:rPr>
    </w:lvl>
    <w:lvl w:ilvl="1">
      <w:start w:val="1"/>
      <w:numFmt w:val="decimal"/>
      <w:lvlText w:val="%1.%2"/>
      <w:lvlJc w:val="left"/>
      <w:pPr>
        <w:ind w:left="375" w:hanging="375"/>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26" w15:restartNumberingAfterBreak="0">
    <w:nsid w:val="7F7D414E"/>
    <w:multiLevelType w:val="hybridMultilevel"/>
    <w:tmpl w:val="232A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6"/>
  </w:num>
  <w:num w:numId="4">
    <w:abstractNumId w:val="19"/>
  </w:num>
  <w:num w:numId="5">
    <w:abstractNumId w:val="11"/>
  </w:num>
  <w:num w:numId="6">
    <w:abstractNumId w:val="8"/>
  </w:num>
  <w:num w:numId="7">
    <w:abstractNumId w:val="22"/>
  </w:num>
  <w:num w:numId="8">
    <w:abstractNumId w:val="24"/>
  </w:num>
  <w:num w:numId="9">
    <w:abstractNumId w:val="21"/>
  </w:num>
  <w:num w:numId="10">
    <w:abstractNumId w:val="18"/>
  </w:num>
  <w:num w:numId="11">
    <w:abstractNumId w:val="20"/>
  </w:num>
  <w:num w:numId="12">
    <w:abstractNumId w:val="13"/>
  </w:num>
  <w:num w:numId="13">
    <w:abstractNumId w:val="10"/>
  </w:num>
  <w:num w:numId="14">
    <w:abstractNumId w:val="6"/>
  </w:num>
  <w:num w:numId="15">
    <w:abstractNumId w:val="12"/>
  </w:num>
  <w:num w:numId="16">
    <w:abstractNumId w:val="9"/>
  </w:num>
  <w:num w:numId="17">
    <w:abstractNumId w:val="4"/>
  </w:num>
  <w:num w:numId="18">
    <w:abstractNumId w:val="17"/>
  </w:num>
  <w:num w:numId="19">
    <w:abstractNumId w:val="15"/>
  </w:num>
  <w:num w:numId="20">
    <w:abstractNumId w:val="23"/>
  </w:num>
  <w:num w:numId="21">
    <w:abstractNumId w:val="3"/>
  </w:num>
  <w:num w:numId="22">
    <w:abstractNumId w:val="0"/>
  </w:num>
  <w:num w:numId="23">
    <w:abstractNumId w:val="25"/>
  </w:num>
  <w:num w:numId="24">
    <w:abstractNumId w:val="1"/>
  </w:num>
  <w:num w:numId="25">
    <w:abstractNumId w:val="16"/>
  </w:num>
  <w:num w:numId="26">
    <w:abstractNumId w:val="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5C2"/>
    <w:rsid w:val="000005A9"/>
    <w:rsid w:val="00003A31"/>
    <w:rsid w:val="00013801"/>
    <w:rsid w:val="00020029"/>
    <w:rsid w:val="00044BEB"/>
    <w:rsid w:val="00055FB1"/>
    <w:rsid w:val="0006496C"/>
    <w:rsid w:val="00067207"/>
    <w:rsid w:val="00067799"/>
    <w:rsid w:val="00070A1A"/>
    <w:rsid w:val="00075609"/>
    <w:rsid w:val="00092C2C"/>
    <w:rsid w:val="00093A3A"/>
    <w:rsid w:val="00097140"/>
    <w:rsid w:val="000B0687"/>
    <w:rsid w:val="000B32B5"/>
    <w:rsid w:val="000B4CBA"/>
    <w:rsid w:val="000C2174"/>
    <w:rsid w:val="000C6465"/>
    <w:rsid w:val="000D1C84"/>
    <w:rsid w:val="000D586D"/>
    <w:rsid w:val="000E2F9A"/>
    <w:rsid w:val="000E332A"/>
    <w:rsid w:val="000F1CEE"/>
    <w:rsid w:val="000F2DB4"/>
    <w:rsid w:val="000F6B37"/>
    <w:rsid w:val="000F710E"/>
    <w:rsid w:val="00107986"/>
    <w:rsid w:val="00121A6A"/>
    <w:rsid w:val="00122823"/>
    <w:rsid w:val="00122D36"/>
    <w:rsid w:val="00123FDE"/>
    <w:rsid w:val="001331DF"/>
    <w:rsid w:val="001337F5"/>
    <w:rsid w:val="00156136"/>
    <w:rsid w:val="00161785"/>
    <w:rsid w:val="00161A60"/>
    <w:rsid w:val="00165D2D"/>
    <w:rsid w:val="00190B8A"/>
    <w:rsid w:val="00191BAF"/>
    <w:rsid w:val="001967B5"/>
    <w:rsid w:val="00196C06"/>
    <w:rsid w:val="001A3235"/>
    <w:rsid w:val="001A3A06"/>
    <w:rsid w:val="001A3D49"/>
    <w:rsid w:val="001C6FE5"/>
    <w:rsid w:val="001D123D"/>
    <w:rsid w:val="001D1E33"/>
    <w:rsid w:val="001E1680"/>
    <w:rsid w:val="001E1F46"/>
    <w:rsid w:val="001E48F3"/>
    <w:rsid w:val="001E7AA4"/>
    <w:rsid w:val="001F6A81"/>
    <w:rsid w:val="00207A22"/>
    <w:rsid w:val="0021066F"/>
    <w:rsid w:val="00214EEA"/>
    <w:rsid w:val="002159B1"/>
    <w:rsid w:val="002218E8"/>
    <w:rsid w:val="002335EB"/>
    <w:rsid w:val="0024085B"/>
    <w:rsid w:val="00241C9B"/>
    <w:rsid w:val="00251C36"/>
    <w:rsid w:val="00255C15"/>
    <w:rsid w:val="002651A5"/>
    <w:rsid w:val="00266058"/>
    <w:rsid w:val="002664BA"/>
    <w:rsid w:val="00266503"/>
    <w:rsid w:val="0027048C"/>
    <w:rsid w:val="00275E4F"/>
    <w:rsid w:val="002766AE"/>
    <w:rsid w:val="00281203"/>
    <w:rsid w:val="00282615"/>
    <w:rsid w:val="002845B7"/>
    <w:rsid w:val="00284A58"/>
    <w:rsid w:val="00292FF4"/>
    <w:rsid w:val="002A58DC"/>
    <w:rsid w:val="002B22FC"/>
    <w:rsid w:val="002B3309"/>
    <w:rsid w:val="002B35A4"/>
    <w:rsid w:val="002C6957"/>
    <w:rsid w:val="002D3193"/>
    <w:rsid w:val="002D7D06"/>
    <w:rsid w:val="002D7E74"/>
    <w:rsid w:val="002F4150"/>
    <w:rsid w:val="002F4A38"/>
    <w:rsid w:val="002F5BA8"/>
    <w:rsid w:val="002F6954"/>
    <w:rsid w:val="0031174E"/>
    <w:rsid w:val="00315A8A"/>
    <w:rsid w:val="003366C0"/>
    <w:rsid w:val="00342E6E"/>
    <w:rsid w:val="0034467F"/>
    <w:rsid w:val="003533CB"/>
    <w:rsid w:val="0035682F"/>
    <w:rsid w:val="00361D64"/>
    <w:rsid w:val="00365F4C"/>
    <w:rsid w:val="0036703F"/>
    <w:rsid w:val="003709EE"/>
    <w:rsid w:val="00371114"/>
    <w:rsid w:val="003736DF"/>
    <w:rsid w:val="003851D6"/>
    <w:rsid w:val="00386D9D"/>
    <w:rsid w:val="00390B5A"/>
    <w:rsid w:val="00393011"/>
    <w:rsid w:val="00395A5C"/>
    <w:rsid w:val="003A7964"/>
    <w:rsid w:val="003B081A"/>
    <w:rsid w:val="003C5E4A"/>
    <w:rsid w:val="003C5F06"/>
    <w:rsid w:val="003C644B"/>
    <w:rsid w:val="003D0627"/>
    <w:rsid w:val="003D1562"/>
    <w:rsid w:val="003D7806"/>
    <w:rsid w:val="003E4149"/>
    <w:rsid w:val="003F1EA5"/>
    <w:rsid w:val="003F40C8"/>
    <w:rsid w:val="004126CF"/>
    <w:rsid w:val="00414637"/>
    <w:rsid w:val="00414F2E"/>
    <w:rsid w:val="0041775D"/>
    <w:rsid w:val="00421D6B"/>
    <w:rsid w:val="00426364"/>
    <w:rsid w:val="0043255B"/>
    <w:rsid w:val="004449B9"/>
    <w:rsid w:val="00452EEB"/>
    <w:rsid w:val="00453D8B"/>
    <w:rsid w:val="004565D9"/>
    <w:rsid w:val="00460DD0"/>
    <w:rsid w:val="00467143"/>
    <w:rsid w:val="0047337E"/>
    <w:rsid w:val="00473410"/>
    <w:rsid w:val="00480DC9"/>
    <w:rsid w:val="004848ED"/>
    <w:rsid w:val="00491851"/>
    <w:rsid w:val="004A2257"/>
    <w:rsid w:val="004A4126"/>
    <w:rsid w:val="004A52E8"/>
    <w:rsid w:val="004A60E7"/>
    <w:rsid w:val="004B10E5"/>
    <w:rsid w:val="004B2283"/>
    <w:rsid w:val="004B2350"/>
    <w:rsid w:val="004B7028"/>
    <w:rsid w:val="004D33EE"/>
    <w:rsid w:val="004D791F"/>
    <w:rsid w:val="004E3667"/>
    <w:rsid w:val="004E425A"/>
    <w:rsid w:val="00510D8D"/>
    <w:rsid w:val="005130E1"/>
    <w:rsid w:val="00516A9D"/>
    <w:rsid w:val="00520115"/>
    <w:rsid w:val="00522B18"/>
    <w:rsid w:val="00525355"/>
    <w:rsid w:val="005261E1"/>
    <w:rsid w:val="00531442"/>
    <w:rsid w:val="0054165C"/>
    <w:rsid w:val="00545A71"/>
    <w:rsid w:val="00551A40"/>
    <w:rsid w:val="00554176"/>
    <w:rsid w:val="00555ADD"/>
    <w:rsid w:val="0055672E"/>
    <w:rsid w:val="00564652"/>
    <w:rsid w:val="00574CBE"/>
    <w:rsid w:val="00584321"/>
    <w:rsid w:val="0059052C"/>
    <w:rsid w:val="00592698"/>
    <w:rsid w:val="005939C9"/>
    <w:rsid w:val="005A70BE"/>
    <w:rsid w:val="005C463F"/>
    <w:rsid w:val="005C62A8"/>
    <w:rsid w:val="005C6684"/>
    <w:rsid w:val="005D7FF2"/>
    <w:rsid w:val="005E7415"/>
    <w:rsid w:val="005E7AAD"/>
    <w:rsid w:val="005E7AFE"/>
    <w:rsid w:val="005E7EF0"/>
    <w:rsid w:val="005F724C"/>
    <w:rsid w:val="00600F05"/>
    <w:rsid w:val="00621CF1"/>
    <w:rsid w:val="006229FC"/>
    <w:rsid w:val="00627478"/>
    <w:rsid w:val="00627FF6"/>
    <w:rsid w:val="00630067"/>
    <w:rsid w:val="006300B2"/>
    <w:rsid w:val="00634608"/>
    <w:rsid w:val="00640354"/>
    <w:rsid w:val="00646361"/>
    <w:rsid w:val="006504F4"/>
    <w:rsid w:val="0065161A"/>
    <w:rsid w:val="00661230"/>
    <w:rsid w:val="00662891"/>
    <w:rsid w:val="006659FD"/>
    <w:rsid w:val="006665A3"/>
    <w:rsid w:val="006670D1"/>
    <w:rsid w:val="006720EC"/>
    <w:rsid w:val="00676B42"/>
    <w:rsid w:val="00683079"/>
    <w:rsid w:val="0068482B"/>
    <w:rsid w:val="006C15C2"/>
    <w:rsid w:val="006D6BCD"/>
    <w:rsid w:val="006D6E42"/>
    <w:rsid w:val="00701ADC"/>
    <w:rsid w:val="007116A6"/>
    <w:rsid w:val="0072116D"/>
    <w:rsid w:val="007218B6"/>
    <w:rsid w:val="00722E0F"/>
    <w:rsid w:val="00724810"/>
    <w:rsid w:val="00726107"/>
    <w:rsid w:val="007275D3"/>
    <w:rsid w:val="00735B63"/>
    <w:rsid w:val="007362BF"/>
    <w:rsid w:val="00743627"/>
    <w:rsid w:val="00747FD4"/>
    <w:rsid w:val="0075042A"/>
    <w:rsid w:val="00757CCD"/>
    <w:rsid w:val="00762433"/>
    <w:rsid w:val="00766E20"/>
    <w:rsid w:val="00771EBF"/>
    <w:rsid w:val="00783F40"/>
    <w:rsid w:val="00784FB8"/>
    <w:rsid w:val="00794CAF"/>
    <w:rsid w:val="00796DF9"/>
    <w:rsid w:val="007A2827"/>
    <w:rsid w:val="007B34DA"/>
    <w:rsid w:val="007B7DB0"/>
    <w:rsid w:val="007C01F6"/>
    <w:rsid w:val="007C04DD"/>
    <w:rsid w:val="007C7A18"/>
    <w:rsid w:val="007D502A"/>
    <w:rsid w:val="007E26D2"/>
    <w:rsid w:val="007F7EA6"/>
    <w:rsid w:val="00807B03"/>
    <w:rsid w:val="00816884"/>
    <w:rsid w:val="00822F15"/>
    <w:rsid w:val="0082743F"/>
    <w:rsid w:val="0084705B"/>
    <w:rsid w:val="0085344C"/>
    <w:rsid w:val="0085397A"/>
    <w:rsid w:val="00854B0E"/>
    <w:rsid w:val="0085650E"/>
    <w:rsid w:val="0086247C"/>
    <w:rsid w:val="0086346A"/>
    <w:rsid w:val="00874BBB"/>
    <w:rsid w:val="008836AA"/>
    <w:rsid w:val="00883B70"/>
    <w:rsid w:val="008939D2"/>
    <w:rsid w:val="0089417A"/>
    <w:rsid w:val="008B07F4"/>
    <w:rsid w:val="008B5690"/>
    <w:rsid w:val="008C0A58"/>
    <w:rsid w:val="008C35C8"/>
    <w:rsid w:val="008C53E1"/>
    <w:rsid w:val="008C6ED5"/>
    <w:rsid w:val="008D4B91"/>
    <w:rsid w:val="008E2244"/>
    <w:rsid w:val="008E54A1"/>
    <w:rsid w:val="008F5852"/>
    <w:rsid w:val="00917CE1"/>
    <w:rsid w:val="00921FC3"/>
    <w:rsid w:val="00926C8D"/>
    <w:rsid w:val="009303F8"/>
    <w:rsid w:val="00942D49"/>
    <w:rsid w:val="00967E91"/>
    <w:rsid w:val="00975034"/>
    <w:rsid w:val="009764A6"/>
    <w:rsid w:val="009827D5"/>
    <w:rsid w:val="00987BC4"/>
    <w:rsid w:val="0099032F"/>
    <w:rsid w:val="009952CB"/>
    <w:rsid w:val="009A1DBE"/>
    <w:rsid w:val="009A2878"/>
    <w:rsid w:val="009B1658"/>
    <w:rsid w:val="009B3E6F"/>
    <w:rsid w:val="009B4B6F"/>
    <w:rsid w:val="009B64F7"/>
    <w:rsid w:val="009E448E"/>
    <w:rsid w:val="009E5880"/>
    <w:rsid w:val="009E6540"/>
    <w:rsid w:val="009E72EF"/>
    <w:rsid w:val="009F5CFC"/>
    <w:rsid w:val="00A00732"/>
    <w:rsid w:val="00A0089E"/>
    <w:rsid w:val="00A01566"/>
    <w:rsid w:val="00A05B26"/>
    <w:rsid w:val="00A241CC"/>
    <w:rsid w:val="00A26D67"/>
    <w:rsid w:val="00A44E2D"/>
    <w:rsid w:val="00A533E6"/>
    <w:rsid w:val="00A56CD2"/>
    <w:rsid w:val="00A57FB4"/>
    <w:rsid w:val="00A6070F"/>
    <w:rsid w:val="00A62EB8"/>
    <w:rsid w:val="00A64B53"/>
    <w:rsid w:val="00A67693"/>
    <w:rsid w:val="00A77114"/>
    <w:rsid w:val="00A80108"/>
    <w:rsid w:val="00A80BEF"/>
    <w:rsid w:val="00A845C2"/>
    <w:rsid w:val="00A87957"/>
    <w:rsid w:val="00A87986"/>
    <w:rsid w:val="00A92142"/>
    <w:rsid w:val="00A93CBA"/>
    <w:rsid w:val="00AA5C6D"/>
    <w:rsid w:val="00AB786C"/>
    <w:rsid w:val="00AC3134"/>
    <w:rsid w:val="00AC4F3B"/>
    <w:rsid w:val="00AC5CDA"/>
    <w:rsid w:val="00AC6C85"/>
    <w:rsid w:val="00AD0641"/>
    <w:rsid w:val="00AD5FA3"/>
    <w:rsid w:val="00AE1175"/>
    <w:rsid w:val="00B01AE6"/>
    <w:rsid w:val="00B02373"/>
    <w:rsid w:val="00B0708F"/>
    <w:rsid w:val="00B0770E"/>
    <w:rsid w:val="00B20D45"/>
    <w:rsid w:val="00B24409"/>
    <w:rsid w:val="00B25BF4"/>
    <w:rsid w:val="00B457F2"/>
    <w:rsid w:val="00B54331"/>
    <w:rsid w:val="00B564C2"/>
    <w:rsid w:val="00B72EB6"/>
    <w:rsid w:val="00B7332C"/>
    <w:rsid w:val="00B930B3"/>
    <w:rsid w:val="00B93AA7"/>
    <w:rsid w:val="00B93EAD"/>
    <w:rsid w:val="00B97126"/>
    <w:rsid w:val="00BA2BCB"/>
    <w:rsid w:val="00BA4CF6"/>
    <w:rsid w:val="00BB0E16"/>
    <w:rsid w:val="00BB66A2"/>
    <w:rsid w:val="00BD15FA"/>
    <w:rsid w:val="00BD4223"/>
    <w:rsid w:val="00BE5907"/>
    <w:rsid w:val="00BE7ABE"/>
    <w:rsid w:val="00BF0DF7"/>
    <w:rsid w:val="00BF7F62"/>
    <w:rsid w:val="00C04D15"/>
    <w:rsid w:val="00C1139D"/>
    <w:rsid w:val="00C12328"/>
    <w:rsid w:val="00C15B76"/>
    <w:rsid w:val="00C421D2"/>
    <w:rsid w:val="00C42FD5"/>
    <w:rsid w:val="00C44138"/>
    <w:rsid w:val="00C52E8A"/>
    <w:rsid w:val="00C54AED"/>
    <w:rsid w:val="00C56AE9"/>
    <w:rsid w:val="00C64527"/>
    <w:rsid w:val="00C7749C"/>
    <w:rsid w:val="00C823BA"/>
    <w:rsid w:val="00C9070A"/>
    <w:rsid w:val="00C90AD8"/>
    <w:rsid w:val="00C9272E"/>
    <w:rsid w:val="00C92FA8"/>
    <w:rsid w:val="00CA15AC"/>
    <w:rsid w:val="00CA3195"/>
    <w:rsid w:val="00CA453C"/>
    <w:rsid w:val="00CB6B33"/>
    <w:rsid w:val="00CC21E0"/>
    <w:rsid w:val="00CC2615"/>
    <w:rsid w:val="00CD27F8"/>
    <w:rsid w:val="00CD5B04"/>
    <w:rsid w:val="00CE2F09"/>
    <w:rsid w:val="00CE5D6D"/>
    <w:rsid w:val="00CE5FC7"/>
    <w:rsid w:val="00CE78BC"/>
    <w:rsid w:val="00CF2DC8"/>
    <w:rsid w:val="00D04709"/>
    <w:rsid w:val="00D067BE"/>
    <w:rsid w:val="00D13834"/>
    <w:rsid w:val="00D16240"/>
    <w:rsid w:val="00D21D0D"/>
    <w:rsid w:val="00D25C21"/>
    <w:rsid w:val="00D35078"/>
    <w:rsid w:val="00D44CEC"/>
    <w:rsid w:val="00D53DDF"/>
    <w:rsid w:val="00D54A29"/>
    <w:rsid w:val="00D62A9D"/>
    <w:rsid w:val="00D63569"/>
    <w:rsid w:val="00D6604F"/>
    <w:rsid w:val="00D73C07"/>
    <w:rsid w:val="00D818F1"/>
    <w:rsid w:val="00D81CF8"/>
    <w:rsid w:val="00D83629"/>
    <w:rsid w:val="00D85686"/>
    <w:rsid w:val="00D93F83"/>
    <w:rsid w:val="00D94CC1"/>
    <w:rsid w:val="00DA0C62"/>
    <w:rsid w:val="00DA2F54"/>
    <w:rsid w:val="00DA5876"/>
    <w:rsid w:val="00DA7470"/>
    <w:rsid w:val="00DC5C5A"/>
    <w:rsid w:val="00DD629C"/>
    <w:rsid w:val="00E00F26"/>
    <w:rsid w:val="00E0241A"/>
    <w:rsid w:val="00E07AC5"/>
    <w:rsid w:val="00E165BB"/>
    <w:rsid w:val="00E33671"/>
    <w:rsid w:val="00E37E84"/>
    <w:rsid w:val="00E40352"/>
    <w:rsid w:val="00E43CE5"/>
    <w:rsid w:val="00E51D4E"/>
    <w:rsid w:val="00E524FD"/>
    <w:rsid w:val="00E56815"/>
    <w:rsid w:val="00E625D7"/>
    <w:rsid w:val="00E62C44"/>
    <w:rsid w:val="00E62D8E"/>
    <w:rsid w:val="00E724C6"/>
    <w:rsid w:val="00E84145"/>
    <w:rsid w:val="00E87A36"/>
    <w:rsid w:val="00E95042"/>
    <w:rsid w:val="00E9548F"/>
    <w:rsid w:val="00EA5308"/>
    <w:rsid w:val="00EA552F"/>
    <w:rsid w:val="00EB4038"/>
    <w:rsid w:val="00EC178B"/>
    <w:rsid w:val="00EC243C"/>
    <w:rsid w:val="00ED6E12"/>
    <w:rsid w:val="00EF0A5A"/>
    <w:rsid w:val="00F02057"/>
    <w:rsid w:val="00F04635"/>
    <w:rsid w:val="00F05FBE"/>
    <w:rsid w:val="00F14897"/>
    <w:rsid w:val="00F204EE"/>
    <w:rsid w:val="00F26F70"/>
    <w:rsid w:val="00F34AFD"/>
    <w:rsid w:val="00F4061E"/>
    <w:rsid w:val="00F43B57"/>
    <w:rsid w:val="00F50CCA"/>
    <w:rsid w:val="00F52B0A"/>
    <w:rsid w:val="00F55C6D"/>
    <w:rsid w:val="00F6095A"/>
    <w:rsid w:val="00F7369D"/>
    <w:rsid w:val="00F75C24"/>
    <w:rsid w:val="00F77146"/>
    <w:rsid w:val="00F80A3C"/>
    <w:rsid w:val="00F80E03"/>
    <w:rsid w:val="00F814DD"/>
    <w:rsid w:val="00F86DA8"/>
    <w:rsid w:val="00F93E0C"/>
    <w:rsid w:val="00F97870"/>
    <w:rsid w:val="00FA3631"/>
    <w:rsid w:val="00FB08B4"/>
    <w:rsid w:val="00FC3660"/>
    <w:rsid w:val="00FD7FA7"/>
    <w:rsid w:val="00FE4C77"/>
    <w:rsid w:val="00FE4D7B"/>
    <w:rsid w:val="00FE4DE3"/>
    <w:rsid w:val="00FF0F94"/>
    <w:rsid w:val="00FF1AB1"/>
    <w:rsid w:val="00FF5304"/>
    <w:rsid w:val="00FF6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5FD465B5"/>
  <w15:chartTrackingRefBased/>
  <w15:docId w15:val="{4E09A2E8-F416-44CB-A6E5-3DAADEEC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EEB"/>
  </w:style>
  <w:style w:type="paragraph" w:styleId="Heading1">
    <w:name w:val="heading 1"/>
    <w:basedOn w:val="Normal"/>
    <w:next w:val="Normal"/>
    <w:link w:val="Heading1Char"/>
    <w:uiPriority w:val="9"/>
    <w:qFormat/>
    <w:rsid w:val="00E37E84"/>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E37E84"/>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37E8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E37E84"/>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E37E84"/>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E37E84"/>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E37E84"/>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E37E84"/>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E37E84"/>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7FB4"/>
    <w:pPr>
      <w:ind w:left="720"/>
      <w:contextualSpacing/>
    </w:pPr>
  </w:style>
  <w:style w:type="paragraph" w:styleId="Header">
    <w:name w:val="header"/>
    <w:basedOn w:val="Normal"/>
    <w:link w:val="HeaderChar"/>
    <w:uiPriority w:val="99"/>
    <w:unhideWhenUsed/>
    <w:rsid w:val="004D79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91F"/>
  </w:style>
  <w:style w:type="paragraph" w:styleId="Footer">
    <w:name w:val="footer"/>
    <w:basedOn w:val="Normal"/>
    <w:link w:val="FooterChar"/>
    <w:uiPriority w:val="99"/>
    <w:unhideWhenUsed/>
    <w:rsid w:val="004D79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91F"/>
  </w:style>
  <w:style w:type="character" w:customStyle="1" w:styleId="Heading1Char">
    <w:name w:val="Heading 1 Char"/>
    <w:basedOn w:val="DefaultParagraphFont"/>
    <w:link w:val="Heading1"/>
    <w:uiPriority w:val="9"/>
    <w:rsid w:val="00E37E84"/>
    <w:rPr>
      <w:smallCaps/>
      <w:spacing w:val="5"/>
      <w:sz w:val="32"/>
      <w:szCs w:val="32"/>
    </w:rPr>
  </w:style>
  <w:style w:type="character" w:customStyle="1" w:styleId="Heading2Char">
    <w:name w:val="Heading 2 Char"/>
    <w:basedOn w:val="DefaultParagraphFont"/>
    <w:link w:val="Heading2"/>
    <w:uiPriority w:val="9"/>
    <w:rsid w:val="00E37E84"/>
    <w:rPr>
      <w:smallCaps/>
      <w:spacing w:val="5"/>
      <w:sz w:val="28"/>
      <w:szCs w:val="28"/>
    </w:rPr>
  </w:style>
  <w:style w:type="character" w:customStyle="1" w:styleId="Heading3Char">
    <w:name w:val="Heading 3 Char"/>
    <w:basedOn w:val="DefaultParagraphFont"/>
    <w:link w:val="Heading3"/>
    <w:uiPriority w:val="9"/>
    <w:semiHidden/>
    <w:rsid w:val="00E37E84"/>
    <w:rPr>
      <w:smallCaps/>
      <w:spacing w:val="5"/>
      <w:sz w:val="24"/>
      <w:szCs w:val="24"/>
    </w:rPr>
  </w:style>
  <w:style w:type="character" w:customStyle="1" w:styleId="Heading4Char">
    <w:name w:val="Heading 4 Char"/>
    <w:basedOn w:val="DefaultParagraphFont"/>
    <w:link w:val="Heading4"/>
    <w:uiPriority w:val="9"/>
    <w:semiHidden/>
    <w:rsid w:val="00E37E84"/>
    <w:rPr>
      <w:i/>
      <w:iCs/>
      <w:smallCaps/>
      <w:spacing w:val="10"/>
      <w:sz w:val="22"/>
      <w:szCs w:val="22"/>
    </w:rPr>
  </w:style>
  <w:style w:type="character" w:customStyle="1" w:styleId="Heading5Char">
    <w:name w:val="Heading 5 Char"/>
    <w:basedOn w:val="DefaultParagraphFont"/>
    <w:link w:val="Heading5"/>
    <w:uiPriority w:val="9"/>
    <w:semiHidden/>
    <w:rsid w:val="00E37E84"/>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E37E84"/>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E37E84"/>
    <w:rPr>
      <w:b/>
      <w:bCs/>
      <w:smallCaps/>
      <w:color w:val="70AD47" w:themeColor="accent6"/>
      <w:spacing w:val="10"/>
    </w:rPr>
  </w:style>
  <w:style w:type="character" w:customStyle="1" w:styleId="Heading8Char">
    <w:name w:val="Heading 8 Char"/>
    <w:basedOn w:val="DefaultParagraphFont"/>
    <w:link w:val="Heading8"/>
    <w:uiPriority w:val="9"/>
    <w:semiHidden/>
    <w:rsid w:val="00E37E84"/>
    <w:rPr>
      <w:b/>
      <w:bCs/>
      <w:i/>
      <w:iCs/>
      <w:smallCaps/>
      <w:color w:val="538135" w:themeColor="accent6" w:themeShade="BF"/>
    </w:rPr>
  </w:style>
  <w:style w:type="character" w:customStyle="1" w:styleId="Heading9Char">
    <w:name w:val="Heading 9 Char"/>
    <w:basedOn w:val="DefaultParagraphFont"/>
    <w:link w:val="Heading9"/>
    <w:uiPriority w:val="9"/>
    <w:semiHidden/>
    <w:rsid w:val="00E37E84"/>
    <w:rPr>
      <w:b/>
      <w:bCs/>
      <w:i/>
      <w:iCs/>
      <w:smallCaps/>
      <w:color w:val="385623" w:themeColor="accent6" w:themeShade="80"/>
    </w:rPr>
  </w:style>
  <w:style w:type="paragraph" w:styleId="Caption">
    <w:name w:val="caption"/>
    <w:basedOn w:val="Normal"/>
    <w:next w:val="Normal"/>
    <w:uiPriority w:val="35"/>
    <w:semiHidden/>
    <w:unhideWhenUsed/>
    <w:qFormat/>
    <w:rsid w:val="00E37E84"/>
    <w:rPr>
      <w:b/>
      <w:bCs/>
      <w:caps/>
      <w:sz w:val="16"/>
      <w:szCs w:val="16"/>
    </w:rPr>
  </w:style>
  <w:style w:type="paragraph" w:styleId="Title">
    <w:name w:val="Title"/>
    <w:basedOn w:val="Normal"/>
    <w:next w:val="Normal"/>
    <w:link w:val="TitleChar"/>
    <w:uiPriority w:val="10"/>
    <w:qFormat/>
    <w:rsid w:val="00E37E84"/>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E37E84"/>
    <w:rPr>
      <w:smallCaps/>
      <w:color w:val="262626" w:themeColor="text1" w:themeTint="D9"/>
      <w:sz w:val="52"/>
      <w:szCs w:val="52"/>
    </w:rPr>
  </w:style>
  <w:style w:type="paragraph" w:styleId="Subtitle">
    <w:name w:val="Subtitle"/>
    <w:basedOn w:val="Normal"/>
    <w:next w:val="Normal"/>
    <w:link w:val="SubtitleChar"/>
    <w:uiPriority w:val="11"/>
    <w:qFormat/>
    <w:rsid w:val="00E37E84"/>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37E84"/>
    <w:rPr>
      <w:rFonts w:asciiTheme="majorHAnsi" w:eastAsiaTheme="majorEastAsia" w:hAnsiTheme="majorHAnsi" w:cstheme="majorBidi"/>
    </w:rPr>
  </w:style>
  <w:style w:type="character" w:styleId="Strong">
    <w:name w:val="Strong"/>
    <w:uiPriority w:val="22"/>
    <w:qFormat/>
    <w:rsid w:val="00E37E84"/>
    <w:rPr>
      <w:b/>
      <w:bCs/>
      <w:color w:val="70AD47" w:themeColor="accent6"/>
    </w:rPr>
  </w:style>
  <w:style w:type="character" w:styleId="Emphasis">
    <w:name w:val="Emphasis"/>
    <w:uiPriority w:val="20"/>
    <w:qFormat/>
    <w:rsid w:val="00E37E84"/>
    <w:rPr>
      <w:b/>
      <w:bCs/>
      <w:i/>
      <w:iCs/>
      <w:spacing w:val="10"/>
    </w:rPr>
  </w:style>
  <w:style w:type="paragraph" w:styleId="NoSpacing">
    <w:name w:val="No Spacing"/>
    <w:uiPriority w:val="1"/>
    <w:qFormat/>
    <w:rsid w:val="00E37E84"/>
    <w:pPr>
      <w:spacing w:after="0" w:line="240" w:lineRule="auto"/>
    </w:pPr>
  </w:style>
  <w:style w:type="paragraph" w:styleId="Quote">
    <w:name w:val="Quote"/>
    <w:basedOn w:val="Normal"/>
    <w:next w:val="Normal"/>
    <w:link w:val="QuoteChar"/>
    <w:uiPriority w:val="29"/>
    <w:qFormat/>
    <w:rsid w:val="00E37E84"/>
    <w:rPr>
      <w:i/>
      <w:iCs/>
    </w:rPr>
  </w:style>
  <w:style w:type="character" w:customStyle="1" w:styleId="QuoteChar">
    <w:name w:val="Quote Char"/>
    <w:basedOn w:val="DefaultParagraphFont"/>
    <w:link w:val="Quote"/>
    <w:uiPriority w:val="29"/>
    <w:rsid w:val="00E37E84"/>
    <w:rPr>
      <w:i/>
      <w:iCs/>
    </w:rPr>
  </w:style>
  <w:style w:type="paragraph" w:styleId="IntenseQuote">
    <w:name w:val="Intense Quote"/>
    <w:basedOn w:val="Normal"/>
    <w:next w:val="Normal"/>
    <w:link w:val="IntenseQuoteChar"/>
    <w:uiPriority w:val="30"/>
    <w:qFormat/>
    <w:rsid w:val="00E37E84"/>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E37E84"/>
    <w:rPr>
      <w:b/>
      <w:bCs/>
      <w:i/>
      <w:iCs/>
    </w:rPr>
  </w:style>
  <w:style w:type="character" w:styleId="SubtleEmphasis">
    <w:name w:val="Subtle Emphasis"/>
    <w:uiPriority w:val="19"/>
    <w:qFormat/>
    <w:rsid w:val="00E37E84"/>
    <w:rPr>
      <w:i/>
      <w:iCs/>
    </w:rPr>
  </w:style>
  <w:style w:type="character" w:styleId="IntenseEmphasis">
    <w:name w:val="Intense Emphasis"/>
    <w:uiPriority w:val="21"/>
    <w:qFormat/>
    <w:rsid w:val="00E37E84"/>
    <w:rPr>
      <w:b/>
      <w:bCs/>
      <w:i/>
      <w:iCs/>
      <w:color w:val="70AD47" w:themeColor="accent6"/>
      <w:spacing w:val="10"/>
    </w:rPr>
  </w:style>
  <w:style w:type="character" w:styleId="SubtleReference">
    <w:name w:val="Subtle Reference"/>
    <w:uiPriority w:val="31"/>
    <w:qFormat/>
    <w:rsid w:val="00E37E84"/>
    <w:rPr>
      <w:b/>
      <w:bCs/>
    </w:rPr>
  </w:style>
  <w:style w:type="character" w:styleId="IntenseReference">
    <w:name w:val="Intense Reference"/>
    <w:uiPriority w:val="32"/>
    <w:qFormat/>
    <w:rsid w:val="00E37E84"/>
    <w:rPr>
      <w:b/>
      <w:bCs/>
      <w:smallCaps/>
      <w:spacing w:val="5"/>
      <w:sz w:val="22"/>
      <w:szCs w:val="22"/>
      <w:u w:val="single"/>
    </w:rPr>
  </w:style>
  <w:style w:type="character" w:styleId="BookTitle">
    <w:name w:val="Book Title"/>
    <w:uiPriority w:val="33"/>
    <w:qFormat/>
    <w:rsid w:val="00E37E84"/>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E37E84"/>
    <w:pPr>
      <w:outlineLvl w:val="9"/>
    </w:pPr>
  </w:style>
  <w:style w:type="paragraph" w:styleId="FootnoteText">
    <w:name w:val="footnote text"/>
    <w:basedOn w:val="Normal"/>
    <w:link w:val="FootnoteTextChar"/>
    <w:uiPriority w:val="99"/>
    <w:semiHidden/>
    <w:unhideWhenUsed/>
    <w:rsid w:val="00510D8D"/>
    <w:pPr>
      <w:spacing w:after="0" w:line="240" w:lineRule="auto"/>
    </w:pPr>
  </w:style>
  <w:style w:type="character" w:customStyle="1" w:styleId="FootnoteTextChar">
    <w:name w:val="Footnote Text Char"/>
    <w:basedOn w:val="DefaultParagraphFont"/>
    <w:link w:val="FootnoteText"/>
    <w:uiPriority w:val="99"/>
    <w:semiHidden/>
    <w:rsid w:val="00510D8D"/>
  </w:style>
  <w:style w:type="character" w:styleId="FootnoteReference">
    <w:name w:val="footnote reference"/>
    <w:basedOn w:val="DefaultParagraphFont"/>
    <w:uiPriority w:val="99"/>
    <w:semiHidden/>
    <w:unhideWhenUsed/>
    <w:rsid w:val="00510D8D"/>
    <w:rPr>
      <w:vertAlign w:val="superscript"/>
    </w:rPr>
  </w:style>
  <w:style w:type="character" w:styleId="Hyperlink">
    <w:name w:val="Hyperlink"/>
    <w:basedOn w:val="DefaultParagraphFont"/>
    <w:uiPriority w:val="99"/>
    <w:unhideWhenUsed/>
    <w:rsid w:val="00510D8D"/>
    <w:rPr>
      <w:color w:val="0563C1" w:themeColor="hyperlink"/>
      <w:u w:val="single"/>
    </w:rPr>
  </w:style>
  <w:style w:type="character" w:customStyle="1" w:styleId="ListParagraphChar">
    <w:name w:val="List Paragraph Char"/>
    <w:basedOn w:val="DefaultParagraphFont"/>
    <w:link w:val="ListParagraph"/>
    <w:uiPriority w:val="34"/>
    <w:locked/>
    <w:rsid w:val="000B4CBA"/>
  </w:style>
  <w:style w:type="table" w:styleId="TableGrid">
    <w:name w:val="Table Grid"/>
    <w:basedOn w:val="TableNormal"/>
    <w:uiPriority w:val="59"/>
    <w:rsid w:val="002159B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ityofOxford">
    <w:name w:val="University of Oxford"/>
    <w:basedOn w:val="TOCHeading"/>
    <w:link w:val="UniversityofOxfordChar"/>
    <w:rsid w:val="005E7AAD"/>
  </w:style>
  <w:style w:type="character" w:customStyle="1" w:styleId="UniversityofOxfordChar">
    <w:name w:val="University of Oxford Char"/>
    <w:basedOn w:val="DefaultParagraphFont"/>
    <w:link w:val="UniversityofOxford"/>
    <w:rsid w:val="005E7AAD"/>
    <w:rPr>
      <w:caps/>
      <w:color w:val="FFFFFF" w:themeColor="background1"/>
      <w:spacing w:val="15"/>
      <w:sz w:val="22"/>
      <w:szCs w:val="22"/>
      <w:shd w:val="clear" w:color="auto" w:fill="002147"/>
    </w:rPr>
  </w:style>
  <w:style w:type="paragraph" w:styleId="TOC1">
    <w:name w:val="toc 1"/>
    <w:basedOn w:val="Normal"/>
    <w:next w:val="Normal"/>
    <w:autoRedefine/>
    <w:uiPriority w:val="39"/>
    <w:unhideWhenUsed/>
    <w:rsid w:val="00BB66A2"/>
    <w:pPr>
      <w:spacing w:after="100"/>
    </w:pPr>
  </w:style>
  <w:style w:type="character" w:styleId="CommentReference">
    <w:name w:val="annotation reference"/>
    <w:basedOn w:val="DefaultParagraphFont"/>
    <w:uiPriority w:val="99"/>
    <w:semiHidden/>
    <w:unhideWhenUsed/>
    <w:rsid w:val="00C1139D"/>
    <w:rPr>
      <w:sz w:val="16"/>
      <w:szCs w:val="16"/>
    </w:rPr>
  </w:style>
  <w:style w:type="paragraph" w:styleId="CommentText">
    <w:name w:val="annotation text"/>
    <w:basedOn w:val="Normal"/>
    <w:link w:val="CommentTextChar"/>
    <w:uiPriority w:val="99"/>
    <w:semiHidden/>
    <w:unhideWhenUsed/>
    <w:rsid w:val="00C1139D"/>
    <w:pPr>
      <w:spacing w:line="240" w:lineRule="auto"/>
    </w:pPr>
  </w:style>
  <w:style w:type="character" w:customStyle="1" w:styleId="CommentTextChar">
    <w:name w:val="Comment Text Char"/>
    <w:basedOn w:val="DefaultParagraphFont"/>
    <w:link w:val="CommentText"/>
    <w:uiPriority w:val="99"/>
    <w:semiHidden/>
    <w:rsid w:val="00C1139D"/>
  </w:style>
  <w:style w:type="paragraph" w:styleId="CommentSubject">
    <w:name w:val="annotation subject"/>
    <w:basedOn w:val="CommentText"/>
    <w:next w:val="CommentText"/>
    <w:link w:val="CommentSubjectChar"/>
    <w:uiPriority w:val="99"/>
    <w:semiHidden/>
    <w:unhideWhenUsed/>
    <w:rsid w:val="00C1139D"/>
    <w:rPr>
      <w:b/>
      <w:bCs/>
    </w:rPr>
  </w:style>
  <w:style w:type="character" w:customStyle="1" w:styleId="CommentSubjectChar">
    <w:name w:val="Comment Subject Char"/>
    <w:basedOn w:val="CommentTextChar"/>
    <w:link w:val="CommentSubject"/>
    <w:uiPriority w:val="99"/>
    <w:semiHidden/>
    <w:rsid w:val="00C1139D"/>
    <w:rPr>
      <w:b/>
      <w:bCs/>
    </w:rPr>
  </w:style>
  <w:style w:type="paragraph" w:styleId="BalloonText">
    <w:name w:val="Balloon Text"/>
    <w:basedOn w:val="Normal"/>
    <w:link w:val="BalloonTextChar"/>
    <w:uiPriority w:val="99"/>
    <w:semiHidden/>
    <w:unhideWhenUsed/>
    <w:rsid w:val="00C11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39D"/>
    <w:rPr>
      <w:rFonts w:ascii="Segoe UI" w:hAnsi="Segoe UI" w:cs="Segoe UI"/>
      <w:sz w:val="18"/>
      <w:szCs w:val="18"/>
    </w:rPr>
  </w:style>
  <w:style w:type="paragraph" w:styleId="TOC2">
    <w:name w:val="toc 2"/>
    <w:basedOn w:val="Normal"/>
    <w:next w:val="Normal"/>
    <w:autoRedefine/>
    <w:uiPriority w:val="39"/>
    <w:unhideWhenUsed/>
    <w:rsid w:val="000E332A"/>
    <w:pPr>
      <w:spacing w:after="100"/>
      <w:ind w:left="200"/>
    </w:pPr>
  </w:style>
  <w:style w:type="paragraph" w:customStyle="1" w:styleId="Default">
    <w:name w:val="Default"/>
    <w:rsid w:val="00B93AA7"/>
    <w:pPr>
      <w:autoSpaceDE w:val="0"/>
      <w:autoSpaceDN w:val="0"/>
      <w:adjustRightInd w:val="0"/>
      <w:spacing w:after="0" w:line="240" w:lineRule="auto"/>
      <w:jc w:val="left"/>
    </w:pPr>
    <w:rPr>
      <w:rFonts w:ascii="NQMZLI+Cambria" w:hAnsi="NQMZLI+Cambria" w:cs="NQMZLI+Cambria"/>
      <w:color w:val="000000"/>
      <w:sz w:val="24"/>
      <w:szCs w:val="24"/>
    </w:rPr>
  </w:style>
  <w:style w:type="character" w:styleId="EndnoteReference">
    <w:name w:val="endnote reference"/>
    <w:basedOn w:val="DefaultParagraphFont"/>
    <w:uiPriority w:val="99"/>
    <w:semiHidden/>
    <w:unhideWhenUsed/>
    <w:rsid w:val="003709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72787">
      <w:bodyDiv w:val="1"/>
      <w:marLeft w:val="0"/>
      <w:marRight w:val="0"/>
      <w:marTop w:val="0"/>
      <w:marBottom w:val="0"/>
      <w:divBdr>
        <w:top w:val="none" w:sz="0" w:space="0" w:color="auto"/>
        <w:left w:val="none" w:sz="0" w:space="0" w:color="auto"/>
        <w:bottom w:val="none" w:sz="0" w:space="0" w:color="auto"/>
        <w:right w:val="none" w:sz="0" w:space="0" w:color="auto"/>
      </w:divBdr>
    </w:div>
    <w:div w:id="397753275">
      <w:bodyDiv w:val="1"/>
      <w:marLeft w:val="0"/>
      <w:marRight w:val="0"/>
      <w:marTop w:val="0"/>
      <w:marBottom w:val="0"/>
      <w:divBdr>
        <w:top w:val="none" w:sz="0" w:space="0" w:color="auto"/>
        <w:left w:val="none" w:sz="0" w:space="0" w:color="auto"/>
        <w:bottom w:val="none" w:sz="0" w:space="0" w:color="auto"/>
        <w:right w:val="none" w:sz="0" w:space="0" w:color="auto"/>
      </w:divBdr>
    </w:div>
    <w:div w:id="933973701">
      <w:bodyDiv w:val="1"/>
      <w:marLeft w:val="0"/>
      <w:marRight w:val="0"/>
      <w:marTop w:val="0"/>
      <w:marBottom w:val="0"/>
      <w:divBdr>
        <w:top w:val="none" w:sz="0" w:space="0" w:color="auto"/>
        <w:left w:val="none" w:sz="0" w:space="0" w:color="auto"/>
        <w:bottom w:val="none" w:sz="0" w:space="0" w:color="auto"/>
        <w:right w:val="none" w:sz="0" w:space="0" w:color="auto"/>
      </w:divBdr>
    </w:div>
    <w:div w:id="1743135498">
      <w:bodyDiv w:val="1"/>
      <w:marLeft w:val="0"/>
      <w:marRight w:val="0"/>
      <w:marTop w:val="0"/>
      <w:marBottom w:val="0"/>
      <w:divBdr>
        <w:top w:val="none" w:sz="0" w:space="0" w:color="auto"/>
        <w:left w:val="none" w:sz="0" w:space="0" w:color="auto"/>
        <w:bottom w:val="none" w:sz="0" w:space="0" w:color="auto"/>
        <w:right w:val="none" w:sz="0" w:space="0" w:color="auto"/>
      </w:divBdr>
    </w:div>
    <w:div w:id="1834833143">
      <w:bodyDiv w:val="1"/>
      <w:marLeft w:val="0"/>
      <w:marRight w:val="0"/>
      <w:marTop w:val="0"/>
      <w:marBottom w:val="0"/>
      <w:divBdr>
        <w:top w:val="none" w:sz="0" w:space="0" w:color="auto"/>
        <w:left w:val="none" w:sz="0" w:space="0" w:color="auto"/>
        <w:bottom w:val="none" w:sz="0" w:space="0" w:color="auto"/>
        <w:right w:val="none" w:sz="0" w:space="0" w:color="auto"/>
      </w:divBdr>
    </w:div>
    <w:div w:id="1885940742">
      <w:bodyDiv w:val="1"/>
      <w:marLeft w:val="0"/>
      <w:marRight w:val="0"/>
      <w:marTop w:val="0"/>
      <w:marBottom w:val="0"/>
      <w:divBdr>
        <w:top w:val="none" w:sz="0" w:space="0" w:color="auto"/>
        <w:left w:val="none" w:sz="0" w:space="0" w:color="auto"/>
        <w:bottom w:val="none" w:sz="0" w:space="0" w:color="auto"/>
        <w:right w:val="none" w:sz="0" w:space="0" w:color="auto"/>
      </w:divBdr>
    </w:div>
    <w:div w:id="19551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vernance.admin.ox.ac.uk/data-qual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bove_x0020_line xmlns="15D9FC0C-ED46-4FFD-B2FE-D622D9090900">None</Above_x0020_line>
    <Reserved xmlns="15D9FC0C-ED46-4FFD-B2FE-D622D9090900">Unmarked</Reserved>
    <Committee_x0020_document xmlns="d754a9bd-723f-4ade-bd0f-d33e4d876477">Sharepoint Only</Committee_x0020_document>
    <PublishingExpirationDate xmlns="http://schemas.microsoft.com/sharepoint/v3" xsi:nil="true"/>
    <Hidden xmlns="15D9FC0C-ED46-4FFD-B2FE-D622D9090900">false</Hidden>
    <PublishingStartDate xmlns="http://schemas.microsoft.com/sharepoint/v3" xsi:nil="true"/>
    <Meeting xmlns="15D9FC0C-ED46-4FFD-B2FE-D622D9090900" xsi:nil="true"/>
    <Order0 xmlns="15D9FC0C-ED46-4FFD-B2FE-D622D9090900">999</Order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6497687AD6634DACD102A7D6C57E0C" ma:contentTypeVersion="1" ma:contentTypeDescription="Create a new document." ma:contentTypeScope="" ma:versionID="b1996b4e0a7eef619a1f2a148f0b655d">
  <xsd:schema xmlns:xsd="http://www.w3.org/2001/XMLSchema" xmlns:xs="http://www.w3.org/2001/XMLSchema" xmlns:p="http://schemas.microsoft.com/office/2006/metadata/properties" xmlns:ns1="http://schemas.microsoft.com/sharepoint/v3" xmlns:ns2="15D9FC0C-ED46-4FFD-B2FE-D622D9090900" xmlns:ns3="d754a9bd-723f-4ade-bd0f-d33e4d876477" targetNamespace="http://schemas.microsoft.com/office/2006/metadata/properties" ma:root="true" ma:fieldsID="b8c7ebe135538f8ee1324a5fe5ed517a" ns1:_="" ns2:_="" ns3:_="">
    <xsd:import namespace="http://schemas.microsoft.com/sharepoint/v3"/>
    <xsd:import namespace="15D9FC0C-ED46-4FFD-B2FE-D622D9090900"/>
    <xsd:import namespace="d754a9bd-723f-4ade-bd0f-d33e4d876477"/>
    <xsd:element name="properties">
      <xsd:complexType>
        <xsd:sequence>
          <xsd:element name="documentManagement">
            <xsd:complexType>
              <xsd:all>
                <xsd:element ref="ns2:Meeting" minOccurs="0"/>
                <xsd:element ref="ns2:Order0" minOccurs="0"/>
                <xsd:element ref="ns2:Reserved" minOccurs="0"/>
                <xsd:element ref="ns3:Committee_x0020_document" minOccurs="0"/>
                <xsd:element ref="ns2:Meeting_x003a_Start_x0020_Time" minOccurs="0"/>
                <xsd:element ref="ns2:Meeting_x003a_Meeting_x0020_name" minOccurs="0"/>
                <xsd:element ref="ns2:Meeting_x003a_Next_x0020_or_x0020_last_x0020__x002d__x0020_text" minOccurs="0"/>
                <xsd:element ref="ns2:Meeting_x003a_Academic_x0020_year_x0020__x002d__x0020_text" minOccurs="0"/>
                <xsd:element ref="ns2:Meeting_x003a_Meeting_x0020_date" minOccurs="0"/>
                <xsd:element ref="ns2:Meeting_x0020_name_x003a_Committee_x0020_name" minOccurs="0"/>
                <xsd:element ref="ns2:Meeting_x0020_name_x003a_Calendar_x0020_Year" minOccurs="0"/>
                <xsd:element ref="ns2:Meeting_x0020_name_x003a_Cancelled_x0020__x002d__x0020_text" minOccurs="0"/>
                <xsd:element ref="ns2:Hidden" minOccurs="0"/>
                <xsd:element ref="ns2:Above_x0020_line" minOccurs="0"/>
                <xsd:element ref="ns2:Linked_x0020_calendar_x0020_entry_x003a_day_x002d_month"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D9FC0C-ED46-4FFD-B2FE-D622D9090900" elementFormDefault="qualified">
    <xsd:import namespace="http://schemas.microsoft.com/office/2006/documentManagement/types"/>
    <xsd:import namespace="http://schemas.microsoft.com/office/infopath/2007/PartnerControls"/>
    <xsd:element name="Meeting" ma:index="2" nillable="true" ma:displayName="Linked calendar entry" ma:list="{DAEA2B05-C8C0-44A2-86ED-8C4F38EA8E23}" ma:internalName="Meeting" ma:readOnly="false" ma:showField="Meeting_x0020_name">
      <xsd:simpleType>
        <xsd:restriction base="dms:Lookup"/>
      </xsd:simpleType>
    </xsd:element>
    <xsd:element name="Order0" ma:index="3" nillable="true" ma:displayName="Order" ma:decimals="0" ma:default="999" ma:internalName="Order0" ma:percentage="FALSE">
      <xsd:simpleType>
        <xsd:restriction base="dms:Number"/>
      </xsd:simpleType>
    </xsd:element>
    <xsd:element name="Reserved" ma:index="4" nillable="true" ma:displayName="Security level" ma:default="Unmarked" ma:format="Dropdown" ma:internalName="Reserved">
      <xsd:simpleType>
        <xsd:restriction base="dms:Choice">
          <xsd:enumeration value="Unmarked"/>
          <xsd:enumeration value="Reserved"/>
          <xsd:enumeration value="Unreserved"/>
        </xsd:restriction>
      </xsd:simpleType>
    </xsd:element>
    <xsd:element name="Meeting_x003a_Start_x0020_Time" ma:index="8" nillable="true" ma:displayName="Meeting Start Time" ma:list="{DAEA2B05-C8C0-44A2-86ED-8C4F38EA8E23}" ma:internalName="Meeting_x003a_Start_x0020_Time" ma:readOnly="true" ma:showField="EventDate" ma:web="">
      <xsd:simpleType>
        <xsd:restriction base="dms:Lookup"/>
      </xsd:simpleType>
    </xsd:element>
    <xsd:element name="Meeting_x003a_Meeting_x0020_name" ma:index="9" nillable="true" ma:displayName="Meeting name" ma:list="{DAEA2B05-C8C0-44A2-86ED-8C4F38EA8E23}" ma:internalName="Meeting_x003a_Meeting_x0020_name" ma:readOnly="true" ma:showField="Meeting_x0020_name" ma:web="">
      <xsd:simpleType>
        <xsd:restriction base="dms:Lookup"/>
      </xsd:simpleType>
    </xsd:element>
    <xsd:element name="Meeting_x003a_Next_x0020_or_x0020_last_x0020__x002d__x0020_text" ma:index="10" nillable="true" ma:displayName="Next or last" ma:list="{DAEA2B05-C8C0-44A2-86ED-8C4F38EA8E23}" ma:internalName="Meeting_x003a_Next_x0020_or_x0020_last_x0020__x002d__x0020_text" ma:readOnly="true" ma:showField="Next_x0020_or_x0020_last_x0020__" ma:web="">
      <xsd:simpleType>
        <xsd:restriction base="dms:Lookup"/>
      </xsd:simpleType>
    </xsd:element>
    <xsd:element name="Meeting_x003a_Academic_x0020_year_x0020__x002d__x0020_text" ma:index="11" nillable="true" ma:displayName="Academic year" ma:list="{DAEA2B05-C8C0-44A2-86ED-8C4F38EA8E23}" ma:internalName="Meeting_x003a_Academic_x0020_year_x0020__x002d__x0020_text" ma:readOnly="true" ma:showField="Academic_x0020_year_x0020__x002d" ma:web="">
      <xsd:simpleType>
        <xsd:restriction base="dms:Lookup"/>
      </xsd:simpleType>
    </xsd:element>
    <xsd:element name="Meeting_x003a_Meeting_x0020_date" ma:index="12" nillable="true" ma:displayName="Meeting date" ma:list="{DAEA2B05-C8C0-44A2-86ED-8C4F38EA8E23}" ma:internalName="Meeting_x003a_Meeting_x0020_date" ma:readOnly="true" ma:showField="Meeting_x0020_date" ma:web="">
      <xsd:simpleType>
        <xsd:restriction base="dms:Lookup"/>
      </xsd:simpleType>
    </xsd:element>
    <xsd:element name="Meeting_x0020_name_x003a_Committee_x0020_name" ma:index="13" nillable="true" ma:displayName="Committee name" ma:list="{DAEA2B05-C8C0-44A2-86ED-8C4F38EA8E23}" ma:internalName="Meeting_x0020_name_x003a_Committee_x0020_name" ma:readOnly="true" ma:showField="Committee_x0020_name" ma:web="">
      <xsd:simpleType>
        <xsd:restriction base="dms:Lookup"/>
      </xsd:simpleType>
    </xsd:element>
    <xsd:element name="Meeting_x0020_name_x003a_Calendar_x0020_Year" ma:index="14" nillable="true" ma:displayName="Calendar Year" ma:list="{DAEA2B05-C8C0-44A2-86ED-8C4F38EA8E23}" ma:internalName="Meeting_x0020_name_x003a_Calendar_x0020_Year" ma:readOnly="true" ma:showField="Calendar_x0020_Year" ma:web="">
      <xsd:simpleType>
        <xsd:restriction base="dms:Lookup"/>
      </xsd:simpleType>
    </xsd:element>
    <xsd:element name="Meeting_x0020_name_x003a_Cancelled_x0020__x002d__x0020_text" ma:index="15" nillable="true" ma:displayName="Meeting - Cancelled" ma:list="{DAEA2B05-C8C0-44A2-86ED-8C4F38EA8E23}" ma:internalName="Meeting_x0020_name_x003a_Cancelled_x0020__x002d__x0020_text" ma:readOnly="true" ma:showField="Cancelled_x0020__x002d__x0020_te" ma:web="">
      <xsd:simpleType>
        <xsd:restriction base="dms:Lookup"/>
      </xsd:simpleType>
    </xsd:element>
    <xsd:element name="Hidden" ma:index="20" nillable="true" ma:displayName="Hidden" ma:default="0" ma:internalName="Hidden">
      <xsd:simpleType>
        <xsd:restriction base="dms:Boolean"/>
      </xsd:simpleType>
    </xsd:element>
    <xsd:element name="Above_x0020_line" ma:index="21" nillable="true" ma:displayName="Above line" ma:default="None" ma:format="Dropdown" ma:internalName="Above_x0020_line">
      <xsd:simpleType>
        <xsd:restriction base="dms:Choice">
          <xsd:enumeration value="None"/>
          <xsd:enumeration value="Above the line"/>
          <xsd:enumeration value="Below the line"/>
        </xsd:restriction>
      </xsd:simpleType>
    </xsd:element>
    <xsd:element name="Linked_x0020_calendar_x0020_entry_x003a_day_x002d_month" ma:index="22" nillable="true" ma:displayName="day-month" ma:list="{DAEA2B05-C8C0-44A2-86ED-8C4F38EA8E23}" ma:internalName="Linked_x0020_calendar_x0020_entry_x003a_day_x002d_month" ma:readOnly="true" ma:showField="day_x002d_month" ma:w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754a9bd-723f-4ade-bd0f-d33e4d876477" elementFormDefault="qualified">
    <xsd:import namespace="http://schemas.microsoft.com/office/2006/documentManagement/types"/>
    <xsd:import namespace="http://schemas.microsoft.com/office/infopath/2007/PartnerControls"/>
    <xsd:element name="Committee_x0020_document" ma:index="5" nillable="true" ma:displayName="Committee document" ma:default="Other" ma:format="Dropdown" ma:internalName="Committee_x0020_document">
      <xsd:simpleType>
        <xsd:restriction base="dms:Choice">
          <xsd:enumeration value="Agenda"/>
          <xsd:enumeration value="Minutes"/>
          <xsd:enumeration value="Paper"/>
          <xsd:enumeration value="Report"/>
          <xsd:enumeration value="Board pack"/>
          <xsd:enumeration value="Sharepoint Onl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6B3C7-43C3-4F54-8033-9C5706CDAB86}">
  <ds:schemaRefs>
    <ds:schemaRef ds:uri="http://schemas.microsoft.com/sharepoint/v3/contenttype/forms"/>
  </ds:schemaRefs>
</ds:datastoreItem>
</file>

<file path=customXml/itemProps2.xml><?xml version="1.0" encoding="utf-8"?>
<ds:datastoreItem xmlns:ds="http://schemas.openxmlformats.org/officeDocument/2006/customXml" ds:itemID="{40B36BA5-CBDF-483E-BD97-88198CAAE801}">
  <ds:schemaRef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d754a9bd-723f-4ade-bd0f-d33e4d876477"/>
    <ds:schemaRef ds:uri="http://schemas.microsoft.com/sharepoint/v3"/>
    <ds:schemaRef ds:uri="15D9FC0C-ED46-4FFD-B2FE-D622D909090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7E14DE4-662B-415A-8510-3D272CD22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D9FC0C-ED46-4FFD-B2FE-D622D9090900"/>
    <ds:schemaRef ds:uri="d754a9bd-723f-4ade-bd0f-d33e4d876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2D8EA-A799-4C87-B194-36769428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1661</Words>
  <Characters>9468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Silva</dc:creator>
  <cp:keywords/>
  <dc:description/>
  <cp:lastModifiedBy>Ben Heath</cp:lastModifiedBy>
  <cp:revision>2</cp:revision>
  <cp:lastPrinted>2017-10-31T13:42:00Z</cp:lastPrinted>
  <dcterms:created xsi:type="dcterms:W3CDTF">2023-05-11T08:58:00Z</dcterms:created>
  <dcterms:modified xsi:type="dcterms:W3CDTF">2023-05-11T08:58:00Z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0x0101004C6497687AD6634DACD102A7D6C57E0C</vt:lpwstr>
  </property>
</Properties>
</file>